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1430"/>
        <w:gridCol w:w="2654"/>
        <w:gridCol w:w="2936"/>
        <w:gridCol w:w="431"/>
        <w:gridCol w:w="2973"/>
        <w:gridCol w:w="356"/>
      </w:tblGrid>
      <w:tr w:rsidR="001A7FF7" w:rsidRPr="006E3AF2" w14:paraId="11EC5F63" w14:textId="77777777" w:rsidTr="00771D00">
        <w:trPr>
          <w:cantSplit/>
        </w:trPr>
        <w:tc>
          <w:tcPr>
            <w:tcW w:w="663" w:type="pct"/>
            <w:vAlign w:val="center"/>
          </w:tcPr>
          <w:p w14:paraId="664345C7" w14:textId="77777777" w:rsidR="001A7FF7" w:rsidRPr="00B649C4" w:rsidRDefault="001A7FF7" w:rsidP="001A7FF7">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4172" w:type="pct"/>
            <w:gridSpan w:val="4"/>
          </w:tcPr>
          <w:p w14:paraId="2B540339" w14:textId="7EAFB8CB" w:rsidR="001A7FF7" w:rsidRDefault="001A7FF7" w:rsidP="001A7FF7">
            <w:pPr>
              <w:pStyle w:val="Heading5"/>
              <w:rPr>
                <w:b/>
              </w:rPr>
            </w:pPr>
            <w:bookmarkStart w:id="0" w:name="Proposal"/>
            <w:bookmarkEnd w:id="0"/>
            <w:r>
              <w:rPr>
                <w:b/>
              </w:rPr>
              <w:t>Bachelor of Professional studies with concentration in strategic communication</w:t>
            </w:r>
          </w:p>
          <w:p w14:paraId="3DD8DB7A" w14:textId="36513317" w:rsidR="001A7FF7" w:rsidRPr="00A83A6C" w:rsidRDefault="001A7FF7" w:rsidP="001A7FF7">
            <w:pPr>
              <w:pStyle w:val="Heading5"/>
              <w:rPr>
                <w:b/>
              </w:rPr>
            </w:pPr>
          </w:p>
        </w:tc>
        <w:tc>
          <w:tcPr>
            <w:tcW w:w="165" w:type="pct"/>
            <w:vMerge w:val="restart"/>
          </w:tcPr>
          <w:p w14:paraId="2466AC4A" w14:textId="1FF377C0" w:rsidR="001A7FF7" w:rsidRPr="008E0FCD" w:rsidRDefault="001A7FF7" w:rsidP="001A7FF7">
            <w:pPr>
              <w:spacing w:line="240" w:lineRule="auto"/>
              <w:rPr>
                <w:b/>
              </w:rPr>
            </w:pPr>
            <w:bookmarkStart w:id="1" w:name="_MON_1418820125"/>
            <w:bookmarkStart w:id="2" w:name="affecred"/>
            <w:bookmarkEnd w:id="1"/>
            <w:bookmarkEnd w:id="2"/>
          </w:p>
        </w:tc>
      </w:tr>
      <w:tr w:rsidR="001A7FF7" w:rsidRPr="006E3AF2" w14:paraId="11E1C10F" w14:textId="77777777" w:rsidTr="00771D00">
        <w:trPr>
          <w:cantSplit/>
        </w:trPr>
        <w:tc>
          <w:tcPr>
            <w:tcW w:w="663" w:type="pct"/>
            <w:vAlign w:val="center"/>
          </w:tcPr>
          <w:p w14:paraId="34141DE6" w14:textId="57C9F023" w:rsidR="001A7FF7" w:rsidRPr="00B649C4" w:rsidRDefault="001A7FF7" w:rsidP="001A7FF7">
            <w:pPr>
              <w:jc w:val="right"/>
            </w:pPr>
          </w:p>
        </w:tc>
        <w:tc>
          <w:tcPr>
            <w:tcW w:w="4172" w:type="pct"/>
            <w:gridSpan w:val="4"/>
          </w:tcPr>
          <w:p w14:paraId="02CBDE98" w14:textId="77777777" w:rsidR="001A7FF7" w:rsidRPr="00A83A6C" w:rsidRDefault="001A7FF7" w:rsidP="001A7FF7">
            <w:pPr>
              <w:pStyle w:val="Heading5"/>
              <w:rPr>
                <w:b/>
              </w:rPr>
            </w:pPr>
            <w:bookmarkStart w:id="3" w:name="Ifapplicable"/>
            <w:bookmarkEnd w:id="3"/>
          </w:p>
        </w:tc>
        <w:tc>
          <w:tcPr>
            <w:tcW w:w="165" w:type="pct"/>
            <w:vMerge/>
          </w:tcPr>
          <w:p w14:paraId="62271F1F" w14:textId="77777777" w:rsidR="001A7FF7" w:rsidRPr="008E0FCD" w:rsidRDefault="001A7FF7" w:rsidP="001A7FF7">
            <w:pPr>
              <w:rPr>
                <w:b/>
              </w:rPr>
            </w:pPr>
          </w:p>
        </w:tc>
      </w:tr>
      <w:tr w:rsidR="001A7FF7" w:rsidRPr="006E3AF2" w14:paraId="224A05DA" w14:textId="77777777" w:rsidTr="00771D00">
        <w:trPr>
          <w:cantSplit/>
        </w:trPr>
        <w:tc>
          <w:tcPr>
            <w:tcW w:w="663" w:type="pct"/>
            <w:vAlign w:val="center"/>
          </w:tcPr>
          <w:p w14:paraId="1D4C4FE7" w14:textId="741AF666" w:rsidR="001A7FF7" w:rsidRPr="006E365C" w:rsidRDefault="001A7FF7" w:rsidP="001A7FF7">
            <w:pPr>
              <w:spacing w:line="240" w:lineRule="auto"/>
            </w:pPr>
            <w:r w:rsidRPr="006E365C">
              <w:t>A. 1b</w:t>
            </w:r>
            <w:r>
              <w:t>.</w:t>
            </w:r>
            <w:r w:rsidRPr="006E365C">
              <w:t xml:space="preserve"> Academic </w:t>
            </w:r>
            <w:r>
              <w:t>unit</w:t>
            </w:r>
          </w:p>
          <w:p w14:paraId="13D93270" w14:textId="40260289" w:rsidR="001A7FF7" w:rsidRDefault="001A7FF7" w:rsidP="001A7FF7">
            <w:pPr>
              <w:rPr>
                <w:rStyle w:val="Hyperlink"/>
              </w:rPr>
            </w:pPr>
          </w:p>
        </w:tc>
        <w:tc>
          <w:tcPr>
            <w:tcW w:w="4172" w:type="pct"/>
            <w:gridSpan w:val="4"/>
          </w:tcPr>
          <w:p w14:paraId="0E70A62B" w14:textId="3250D5D3" w:rsidR="001A7FF7" w:rsidRPr="004301A3" w:rsidRDefault="001A7FF7" w:rsidP="001A7FF7">
            <w:pPr>
              <w:rPr>
                <w:b/>
              </w:rPr>
            </w:pPr>
            <w:r>
              <w:rPr>
                <w:b/>
              </w:rPr>
              <w:t>Professional Studies and Continuing Education (PSCE)</w:t>
            </w:r>
          </w:p>
        </w:tc>
        <w:tc>
          <w:tcPr>
            <w:tcW w:w="165" w:type="pct"/>
          </w:tcPr>
          <w:p w14:paraId="12A36AEF" w14:textId="77777777" w:rsidR="001A7FF7" w:rsidRPr="008E0FCD" w:rsidRDefault="001A7FF7" w:rsidP="001A7FF7">
            <w:pPr>
              <w:rPr>
                <w:b/>
              </w:rPr>
            </w:pPr>
          </w:p>
        </w:tc>
      </w:tr>
      <w:tr w:rsidR="001A7FF7" w:rsidRPr="006E3AF2" w14:paraId="3ADE5CAB" w14:textId="77777777" w:rsidTr="00771D00">
        <w:trPr>
          <w:cantSplit/>
        </w:trPr>
        <w:tc>
          <w:tcPr>
            <w:tcW w:w="663" w:type="pct"/>
            <w:vAlign w:val="center"/>
          </w:tcPr>
          <w:p w14:paraId="1CB809EF" w14:textId="77777777" w:rsidR="001A7FF7" w:rsidRPr="00B649C4" w:rsidRDefault="001A7FF7" w:rsidP="001A7FF7">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4172" w:type="pct"/>
            <w:gridSpan w:val="4"/>
          </w:tcPr>
          <w:p w14:paraId="52ECEFB4" w14:textId="3E291202" w:rsidR="001A7FF7" w:rsidRPr="005F2A05" w:rsidRDefault="001A7FF7" w:rsidP="00771D00">
            <w:pPr>
              <w:rPr>
                <w:b/>
              </w:rPr>
            </w:pPr>
            <w:bookmarkStart w:id="4" w:name="type"/>
            <w:r>
              <w:rPr>
                <w:b/>
              </w:rPr>
              <w:t>Program</w:t>
            </w:r>
            <w:r w:rsidRPr="005F2A05">
              <w:rPr>
                <w:b/>
              </w:rPr>
              <w:t xml:space="preserve"> </w:t>
            </w:r>
            <w:bookmarkEnd w:id="4"/>
            <w:r>
              <w:rPr>
                <w:b/>
              </w:rPr>
              <w:t>creation</w:t>
            </w:r>
          </w:p>
        </w:tc>
        <w:tc>
          <w:tcPr>
            <w:tcW w:w="165" w:type="pct"/>
          </w:tcPr>
          <w:p w14:paraId="66B4A301" w14:textId="77777777" w:rsidR="001A7FF7" w:rsidRPr="005F2A05" w:rsidRDefault="001A7FF7" w:rsidP="001A7FF7">
            <w:pPr>
              <w:rPr>
                <w:b/>
              </w:rPr>
            </w:pPr>
          </w:p>
        </w:tc>
      </w:tr>
      <w:tr w:rsidR="001A7FF7" w:rsidRPr="006E3AF2" w14:paraId="1CF85742" w14:textId="77777777" w:rsidTr="00771D00">
        <w:trPr>
          <w:cantSplit/>
        </w:trPr>
        <w:tc>
          <w:tcPr>
            <w:tcW w:w="663" w:type="pct"/>
            <w:vAlign w:val="center"/>
          </w:tcPr>
          <w:p w14:paraId="7F95D6E5" w14:textId="370E4C59" w:rsidR="001A7FF7" w:rsidRPr="00B649C4" w:rsidRDefault="001A7FF7" w:rsidP="001A7FF7">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231" w:type="pct"/>
          </w:tcPr>
          <w:p w14:paraId="32621A09" w14:textId="59454B0F" w:rsidR="001A7FF7" w:rsidRPr="00B605CE" w:rsidRDefault="001A7FF7" w:rsidP="001A7FF7">
            <w:pPr>
              <w:rPr>
                <w:b/>
              </w:rPr>
            </w:pPr>
            <w:bookmarkStart w:id="5" w:name="Originator"/>
            <w:bookmarkEnd w:id="5"/>
            <w:r>
              <w:rPr>
                <w:b/>
              </w:rPr>
              <w:t>Giselle A. Auger</w:t>
            </w:r>
          </w:p>
        </w:tc>
        <w:tc>
          <w:tcPr>
            <w:tcW w:w="1362" w:type="pct"/>
          </w:tcPr>
          <w:p w14:paraId="788D9512" w14:textId="19B60691" w:rsidR="001A7FF7" w:rsidRPr="00946B20" w:rsidRDefault="00000000" w:rsidP="001A7FF7">
            <w:hyperlink w:anchor="home_dept" w:tooltip="Which department, program, academic unit, office, and/or school is primarily responsible for the curriculum change?" w:history="1">
              <w:r w:rsidR="001A7FF7" w:rsidRPr="00946B20">
                <w:rPr>
                  <w:rStyle w:val="Hyperlink"/>
                </w:rPr>
                <w:t>Home department</w:t>
              </w:r>
            </w:hyperlink>
          </w:p>
        </w:tc>
        <w:tc>
          <w:tcPr>
            <w:tcW w:w="1743" w:type="pct"/>
            <w:gridSpan w:val="3"/>
          </w:tcPr>
          <w:p w14:paraId="6A9CD084" w14:textId="3C8BFD1B" w:rsidR="001A7FF7" w:rsidRPr="00B605CE" w:rsidRDefault="001A7FF7" w:rsidP="001A7FF7">
            <w:pPr>
              <w:rPr>
                <w:b/>
              </w:rPr>
            </w:pPr>
            <w:bookmarkStart w:id="6" w:name="home_dept"/>
            <w:bookmarkEnd w:id="6"/>
            <w:r>
              <w:rPr>
                <w:b/>
              </w:rPr>
              <w:t>Communication</w:t>
            </w:r>
          </w:p>
        </w:tc>
      </w:tr>
      <w:tr w:rsidR="001A7FF7" w:rsidRPr="006E3AF2" w14:paraId="2EB2F82D" w14:textId="77777777" w:rsidTr="00771D00">
        <w:tc>
          <w:tcPr>
            <w:tcW w:w="663" w:type="pct"/>
            <w:vAlign w:val="center"/>
          </w:tcPr>
          <w:p w14:paraId="1B74C4DB" w14:textId="0E92AC00" w:rsidR="001A7FF7" w:rsidRPr="00E500F9" w:rsidRDefault="001A7FF7" w:rsidP="001A7FF7">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7E3849C0" w14:textId="60B78EA1" w:rsidR="001A7FF7" w:rsidRPr="00B649C4" w:rsidRDefault="001A7FF7" w:rsidP="001A7FF7">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4337" w:type="pct"/>
            <w:gridSpan w:val="5"/>
          </w:tcPr>
          <w:p w14:paraId="3E3F7DF5" w14:textId="7997F3B1" w:rsidR="007D1AA7" w:rsidRPr="00FE4237" w:rsidRDefault="007D1AA7" w:rsidP="007D1AA7">
            <w:pPr>
              <w:spacing w:line="240" w:lineRule="auto"/>
              <w:rPr>
                <w:rFonts w:asciiTheme="minorHAnsi" w:hAnsiTheme="minorHAnsi" w:cs="Arial"/>
              </w:rPr>
            </w:pPr>
            <w:bookmarkStart w:id="7" w:name="Rationale"/>
            <w:bookmarkEnd w:id="7"/>
            <w:r w:rsidRPr="2DF3DB22">
              <w:rPr>
                <w:rFonts w:asciiTheme="minorHAnsi" w:hAnsiTheme="minorHAnsi" w:cs="Arial"/>
              </w:rPr>
              <w:t>Nearly 150,000 Rhode Islanders have some college and no bachelor’s degree. Rhode Island College currently offers the Bachelor of Professional Studies (BPS) with two concentrations tailored to attract and meet the needs of adult students. The program launched in the spring of 2022 with a single cohort of 13 students in the Social Services concentration and added the first cohort in Organizational Leadership in the fall of 2022. Five cohorts are currently running with nearly 60 students currently enrolled. This proposal adds a third concentration option, following the prior approved format and structure of the BPS degree, including the same admission requirements, approved general education component and split semester format.</w:t>
            </w:r>
            <w:r>
              <w:rPr>
                <w:rFonts w:asciiTheme="minorHAnsi" w:hAnsiTheme="minorHAnsi" w:cs="Arial"/>
              </w:rPr>
              <w:t xml:space="preserve"> The program has a separate exam period wherein </w:t>
            </w:r>
            <w:r>
              <w:t xml:space="preserve">a final exam, project or presentation may be part of the </w:t>
            </w:r>
            <w:r w:rsidR="00011B88">
              <w:t>8</w:t>
            </w:r>
            <w:r>
              <w:t>-week session.</w:t>
            </w:r>
          </w:p>
          <w:p w14:paraId="50725597" w14:textId="77777777" w:rsidR="001A7FF7" w:rsidRPr="00FE4237" w:rsidRDefault="001A7FF7" w:rsidP="001A7FF7">
            <w:pPr>
              <w:rPr>
                <w:rFonts w:asciiTheme="minorHAnsi" w:hAnsiTheme="minorHAnsi"/>
              </w:rPr>
            </w:pPr>
          </w:p>
          <w:p w14:paraId="4B3F25EE" w14:textId="2630F384" w:rsidR="001A7FF7" w:rsidRPr="00FE4237" w:rsidRDefault="001A7FF7" w:rsidP="001A7FF7">
            <w:pPr>
              <w:rPr>
                <w:rFonts w:asciiTheme="minorHAnsi" w:hAnsiTheme="minorHAnsi"/>
              </w:rPr>
            </w:pPr>
            <w:r w:rsidRPr="00FE4237">
              <w:rPr>
                <w:rFonts w:asciiTheme="minorHAnsi" w:hAnsiTheme="minorHAnsi"/>
              </w:rPr>
              <w:t xml:space="preserve">We believe that the new </w:t>
            </w:r>
            <w:r w:rsidR="00FF099F" w:rsidRPr="00FE4237">
              <w:rPr>
                <w:rFonts w:asciiTheme="minorHAnsi" w:hAnsiTheme="minorHAnsi"/>
              </w:rPr>
              <w:t>concentration</w:t>
            </w:r>
            <w:r w:rsidRPr="00FE4237">
              <w:rPr>
                <w:rFonts w:asciiTheme="minorHAnsi" w:hAnsiTheme="minorHAnsi"/>
              </w:rPr>
              <w:t xml:space="preserve"> will serve the needs of </w:t>
            </w:r>
            <w:r w:rsidR="00FF099F" w:rsidRPr="00FE4237">
              <w:rPr>
                <w:rFonts w:asciiTheme="minorHAnsi" w:hAnsiTheme="minorHAnsi"/>
              </w:rPr>
              <w:t>adults in Rhode Island and elsewhere who have incomplete college educations but real-life experience in the field. O</w:t>
            </w:r>
            <w:r w:rsidRPr="00FE4237">
              <w:rPr>
                <w:rFonts w:asciiTheme="minorHAnsi" w:hAnsiTheme="minorHAnsi"/>
              </w:rPr>
              <w:t xml:space="preserve">ur students and the state </w:t>
            </w:r>
            <w:r w:rsidR="00FF099F" w:rsidRPr="00FE4237">
              <w:rPr>
                <w:rFonts w:asciiTheme="minorHAnsi" w:hAnsiTheme="minorHAnsi"/>
              </w:rPr>
              <w:t xml:space="preserve">will benefit </w:t>
            </w:r>
            <w:r w:rsidRPr="00FE4237">
              <w:rPr>
                <w:rFonts w:asciiTheme="minorHAnsi" w:hAnsiTheme="minorHAnsi"/>
              </w:rPr>
              <w:t xml:space="preserve">by preparing them for work </w:t>
            </w:r>
            <w:r w:rsidR="00FF099F" w:rsidRPr="00FE4237">
              <w:rPr>
                <w:rFonts w:asciiTheme="minorHAnsi" w:hAnsiTheme="minorHAnsi"/>
              </w:rPr>
              <w:t xml:space="preserve">or advancement </w:t>
            </w:r>
            <w:r w:rsidRPr="00FE4237">
              <w:rPr>
                <w:rFonts w:asciiTheme="minorHAnsi" w:hAnsiTheme="minorHAnsi"/>
              </w:rPr>
              <w:t xml:space="preserve">in </w:t>
            </w:r>
            <w:r w:rsidR="002A095E">
              <w:rPr>
                <w:rFonts w:asciiTheme="minorHAnsi" w:hAnsiTheme="minorHAnsi"/>
              </w:rPr>
              <w:t>the many</w:t>
            </w:r>
            <w:r w:rsidRPr="00FE4237">
              <w:rPr>
                <w:rFonts w:asciiTheme="minorHAnsi" w:hAnsiTheme="minorHAnsi"/>
              </w:rPr>
              <w:t xml:space="preserve"> areas</w:t>
            </w:r>
            <w:r w:rsidR="002A095E">
              <w:rPr>
                <w:rFonts w:asciiTheme="minorHAnsi" w:hAnsiTheme="minorHAnsi"/>
              </w:rPr>
              <w:t xml:space="preserve"> that encompass strategic communication.</w:t>
            </w:r>
          </w:p>
          <w:p w14:paraId="041E0EE2" w14:textId="102D9599" w:rsidR="001A7FF7" w:rsidRPr="00FE4237" w:rsidRDefault="001A7FF7" w:rsidP="001A7FF7">
            <w:pPr>
              <w:rPr>
                <w:rFonts w:asciiTheme="minorHAnsi" w:hAnsiTheme="minorHAnsi"/>
              </w:rPr>
            </w:pPr>
          </w:p>
          <w:p w14:paraId="1082ED88" w14:textId="1AB5CB26" w:rsidR="001A7FF7" w:rsidRPr="00FE4237" w:rsidRDefault="001A7FF7" w:rsidP="001A7FF7">
            <w:pPr>
              <w:rPr>
                <w:rFonts w:asciiTheme="minorHAnsi" w:hAnsiTheme="minorHAnsi"/>
              </w:rPr>
            </w:pPr>
            <w:r w:rsidRPr="00FE4237">
              <w:rPr>
                <w:rFonts w:asciiTheme="minorHAnsi" w:hAnsiTheme="minorHAnsi"/>
              </w:rPr>
              <w:t xml:space="preserve">Strategic Communication is an area whose aim is to communicate an entity’s (organizational, business, political, or otherwise) goals, mission, values, or policies or similar. Jobs in strategic communication can be found in public relations, health communication, public policy, nonprofits, and may encompass social media, strategy, analysis, graphic design, speech writing, production </w:t>
            </w:r>
            <w:r w:rsidRPr="00FE4237">
              <w:rPr>
                <w:rFonts w:asciiTheme="minorHAnsi" w:hAnsiTheme="minorHAnsi"/>
              </w:rPr>
              <w:lastRenderedPageBreak/>
              <w:t>of collateral like fact sheets and news releases, or speaking on behalf of the organization. The outlook for jobs in this area is strong, as indicated below.</w:t>
            </w:r>
          </w:p>
          <w:p w14:paraId="09DF292A" w14:textId="77777777"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 xml:space="preserve">A quick search for jobs in strategic communication on LinkedIn showed 49,000+ jobs </w:t>
            </w:r>
          </w:p>
          <w:p w14:paraId="513AF0EC" w14:textId="77777777" w:rsidR="001A7FF7" w:rsidRPr="00FE4237" w:rsidRDefault="001A7FF7" w:rsidP="001A7FF7">
            <w:pPr>
              <w:pStyle w:val="ListParagraph"/>
              <w:rPr>
                <w:rFonts w:asciiTheme="minorHAnsi" w:hAnsiTheme="minorHAnsi"/>
              </w:rPr>
            </w:pPr>
          </w:p>
          <w:p w14:paraId="5D395E35" w14:textId="77777777"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Job Outlook for Public Relations from Bureau Labor Statistics indicates faster than average growth area at 8% for 2021-2031.</w:t>
            </w:r>
          </w:p>
          <w:p w14:paraId="7CDFF43D" w14:textId="77777777" w:rsidR="001A7FF7" w:rsidRPr="00FE4237" w:rsidRDefault="00000000" w:rsidP="001A7FF7">
            <w:pPr>
              <w:pStyle w:val="ListParagraph"/>
              <w:rPr>
                <w:rFonts w:asciiTheme="minorHAnsi" w:hAnsiTheme="minorHAnsi"/>
              </w:rPr>
            </w:pPr>
            <w:hyperlink r:id="rId8" w:history="1">
              <w:r w:rsidR="001A7FF7" w:rsidRPr="00FE4237">
                <w:rPr>
                  <w:rStyle w:val="Hyperlink"/>
                  <w:rFonts w:asciiTheme="minorHAnsi" w:hAnsiTheme="minorHAnsi"/>
                </w:rPr>
                <w:t>https://www.bls.gov/ooh/media-and-communication/public-relations-specialists.htm</w:t>
              </w:r>
            </w:hyperlink>
          </w:p>
          <w:p w14:paraId="36A9B1F6" w14:textId="77777777" w:rsidR="001A7FF7" w:rsidRPr="00FE4237" w:rsidRDefault="001A7FF7" w:rsidP="001A7FF7">
            <w:pPr>
              <w:pStyle w:val="ListParagraph"/>
              <w:rPr>
                <w:rFonts w:asciiTheme="minorHAnsi" w:hAnsiTheme="minorHAnsi"/>
              </w:rPr>
            </w:pPr>
          </w:p>
          <w:p w14:paraId="271CF021" w14:textId="77777777"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Job outlook for organizational communication type jobs ranges from 7% to 11% for 2020-2030.</w:t>
            </w:r>
          </w:p>
          <w:p w14:paraId="1C34D996" w14:textId="77777777" w:rsidR="001A7FF7" w:rsidRPr="00FE4237" w:rsidRDefault="00000000" w:rsidP="001A7FF7">
            <w:pPr>
              <w:pStyle w:val="ListParagraph"/>
              <w:rPr>
                <w:rFonts w:asciiTheme="minorHAnsi" w:hAnsiTheme="minorHAnsi"/>
              </w:rPr>
            </w:pPr>
            <w:hyperlink r:id="rId9" w:history="1">
              <w:r w:rsidR="001A7FF7" w:rsidRPr="00FE4237">
                <w:rPr>
                  <w:rStyle w:val="Hyperlink"/>
                  <w:rFonts w:asciiTheme="minorHAnsi" w:hAnsiTheme="minorHAnsi"/>
                </w:rPr>
                <w:t>https://learn.org/articles/Organizational_Communication_Jobs_Answers_to_Your_Questions.html</w:t>
              </w:r>
            </w:hyperlink>
          </w:p>
          <w:p w14:paraId="328C20CA" w14:textId="77777777" w:rsidR="001A7FF7" w:rsidRPr="00FE4237" w:rsidRDefault="001A7FF7" w:rsidP="001A7FF7">
            <w:pPr>
              <w:pStyle w:val="ListParagraph"/>
              <w:rPr>
                <w:rFonts w:asciiTheme="minorHAnsi" w:hAnsiTheme="minorHAnsi"/>
              </w:rPr>
            </w:pPr>
          </w:p>
          <w:p w14:paraId="44D2C24B" w14:textId="77777777"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Public Policy related industry areas like community relations, legislative aide, policy analyst, and nonprofit director among others have projected growth through 2028 ranging from 9% to 22%.</w:t>
            </w:r>
          </w:p>
          <w:p w14:paraId="64749A13" w14:textId="77777777" w:rsidR="001A7FF7" w:rsidRPr="00FE4237" w:rsidRDefault="00000000" w:rsidP="001A7FF7">
            <w:pPr>
              <w:pStyle w:val="ListParagraph"/>
              <w:rPr>
                <w:rFonts w:asciiTheme="minorHAnsi" w:hAnsiTheme="minorHAnsi"/>
              </w:rPr>
            </w:pPr>
            <w:hyperlink r:id="rId10" w:history="1">
              <w:r w:rsidR="001A7FF7" w:rsidRPr="00FE4237">
                <w:rPr>
                  <w:rStyle w:val="Hyperlink"/>
                  <w:rFonts w:asciiTheme="minorHAnsi" w:hAnsiTheme="minorHAnsi"/>
                </w:rPr>
                <w:t>https://research.com/careers/public-policy-careers</w:t>
              </w:r>
            </w:hyperlink>
          </w:p>
          <w:p w14:paraId="6847BB25" w14:textId="77777777" w:rsidR="001A7FF7" w:rsidRPr="00FE4237" w:rsidRDefault="001A7FF7" w:rsidP="001A7FF7">
            <w:pPr>
              <w:pStyle w:val="ListParagraph"/>
              <w:rPr>
                <w:rFonts w:asciiTheme="minorHAnsi" w:hAnsiTheme="minorHAnsi"/>
              </w:rPr>
            </w:pPr>
          </w:p>
          <w:p w14:paraId="22E35807" w14:textId="77777777"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 xml:space="preserve">Social Media Manager growth estimated at 10% growth through 2026. </w:t>
            </w:r>
            <w:hyperlink r:id="rId11" w:history="1">
              <w:r w:rsidRPr="00FE4237">
                <w:rPr>
                  <w:rStyle w:val="Hyperlink"/>
                  <w:rFonts w:asciiTheme="minorHAnsi" w:hAnsiTheme="minorHAnsi"/>
                </w:rPr>
                <w:t>https://www.noodle.com/articles/what-does-career-growth-look-like-for-a-social-media-manager</w:t>
              </w:r>
            </w:hyperlink>
          </w:p>
          <w:p w14:paraId="06B4D95E" w14:textId="1F31BF42" w:rsidR="001A7FF7" w:rsidRPr="00FE4237" w:rsidRDefault="001A7FF7" w:rsidP="001A7FF7">
            <w:pPr>
              <w:ind w:left="720"/>
              <w:rPr>
                <w:rFonts w:asciiTheme="minorHAnsi" w:hAnsiTheme="minorHAnsi"/>
              </w:rPr>
            </w:pPr>
            <w:r w:rsidRPr="00FE4237">
              <w:rPr>
                <w:rFonts w:asciiTheme="minorHAnsi" w:hAnsiTheme="minorHAnsi"/>
              </w:rPr>
              <w:t xml:space="preserve">Also listed as #42 on </w:t>
            </w:r>
            <w:hyperlink r:id="rId12" w:tgtFrame="_blank" w:history="1">
              <w:r w:rsidRPr="00FE4237">
                <w:rPr>
                  <w:rStyle w:val="Hyperlink"/>
                  <w:rFonts w:asciiTheme="minorHAnsi" w:hAnsiTheme="minorHAnsi"/>
                </w:rPr>
                <w:t>CNNMoney/PayScale's</w:t>
              </w:r>
            </w:hyperlink>
            <w:r w:rsidRPr="00FE4237">
              <w:rPr>
                <w:rFonts w:asciiTheme="minorHAnsi" w:hAnsiTheme="minorHAnsi"/>
              </w:rPr>
              <w:t xml:space="preserve"> list of "Top 100 Careers with Big Growth, Great Pay and Satisfying Work.”</w:t>
            </w:r>
          </w:p>
          <w:p w14:paraId="5283065D" w14:textId="77777777" w:rsidR="001A7FF7" w:rsidRPr="00FE4237" w:rsidRDefault="001A7FF7" w:rsidP="001A7FF7">
            <w:pPr>
              <w:ind w:left="720"/>
              <w:rPr>
                <w:rFonts w:asciiTheme="minorHAnsi" w:hAnsiTheme="minorHAnsi"/>
              </w:rPr>
            </w:pPr>
          </w:p>
          <w:p w14:paraId="27E0D044" w14:textId="24BEC251" w:rsidR="001A7FF7" w:rsidRPr="00FE4237" w:rsidRDefault="001A7FF7" w:rsidP="001A7FF7">
            <w:pPr>
              <w:pStyle w:val="ListParagraph"/>
              <w:numPr>
                <w:ilvl w:val="0"/>
                <w:numId w:val="15"/>
              </w:numPr>
              <w:spacing w:after="160" w:line="259" w:lineRule="auto"/>
              <w:rPr>
                <w:rFonts w:asciiTheme="minorHAnsi" w:hAnsiTheme="minorHAnsi"/>
              </w:rPr>
            </w:pPr>
            <w:r w:rsidRPr="00FE4237">
              <w:rPr>
                <w:rFonts w:asciiTheme="minorHAnsi" w:hAnsiTheme="minorHAnsi"/>
              </w:rPr>
              <w:t xml:space="preserve">Heath communication is also expected to grow above the average at 8% from 2018 to 2028 according to the Bureau of Labor Statistics. </w:t>
            </w:r>
            <w:hyperlink r:id="rId13" w:history="1">
              <w:r w:rsidRPr="00FE4237">
                <w:rPr>
                  <w:rStyle w:val="Hyperlink"/>
                  <w:rFonts w:asciiTheme="minorHAnsi" w:hAnsiTheme="minorHAnsi"/>
                </w:rPr>
                <w:t>https://onlinepublichealth.gwu.edu/careers/health-communication/</w:t>
              </w:r>
            </w:hyperlink>
          </w:p>
          <w:p w14:paraId="5721BBB7" w14:textId="3A830964" w:rsidR="00C02B7D" w:rsidRPr="00FE4237" w:rsidRDefault="00C02B7D" w:rsidP="00C02B7D">
            <w:pPr>
              <w:spacing w:line="240" w:lineRule="auto"/>
              <w:rPr>
                <w:rFonts w:asciiTheme="minorHAnsi" w:hAnsiTheme="minorHAnsi" w:cs="Arial"/>
              </w:rPr>
            </w:pPr>
            <w:r w:rsidRPr="00FE4237">
              <w:rPr>
                <w:rFonts w:asciiTheme="minorHAnsi" w:hAnsiTheme="minorHAnsi" w:cs="Arial"/>
              </w:rPr>
              <w:t>While marketing will be necessary to promote this new</w:t>
            </w:r>
            <w:r w:rsidR="008847FC">
              <w:rPr>
                <w:rFonts w:asciiTheme="minorHAnsi" w:hAnsiTheme="minorHAnsi" w:cs="Arial"/>
              </w:rPr>
              <w:t xml:space="preserve"> </w:t>
            </w:r>
            <w:r w:rsidRPr="00FE4237">
              <w:rPr>
                <w:rFonts w:asciiTheme="minorHAnsi" w:hAnsiTheme="minorHAnsi" w:cs="Arial"/>
              </w:rPr>
              <w:t xml:space="preserve">concentration, </w:t>
            </w:r>
            <w:r w:rsidR="008847FC">
              <w:rPr>
                <w:rFonts w:asciiTheme="minorHAnsi" w:hAnsiTheme="minorHAnsi" w:cs="Arial"/>
              </w:rPr>
              <w:t>it can be combined with the marketing of the existing two BPS programs and will also be promoted by the Communication Department.</w:t>
            </w:r>
          </w:p>
          <w:p w14:paraId="7517573D" w14:textId="77777777" w:rsidR="001A7FF7" w:rsidRPr="00FE4237" w:rsidRDefault="001A7FF7" w:rsidP="001A7FF7">
            <w:pPr>
              <w:rPr>
                <w:rFonts w:asciiTheme="minorHAnsi" w:hAnsiTheme="minorHAnsi"/>
                <w:b/>
              </w:rPr>
            </w:pPr>
          </w:p>
          <w:p w14:paraId="3FC5F412" w14:textId="5D996914" w:rsidR="00FE4237" w:rsidRPr="00FE4237" w:rsidRDefault="008847FC" w:rsidP="00FE4237">
            <w:pPr>
              <w:spacing w:line="240" w:lineRule="auto"/>
              <w:rPr>
                <w:rFonts w:asciiTheme="minorHAnsi" w:hAnsiTheme="minorHAnsi" w:cs="Arial"/>
              </w:rPr>
            </w:pPr>
            <w:r>
              <w:t xml:space="preserve">As with the two prior approved BPS concentrations, the dean of the most closely related school </w:t>
            </w:r>
            <w:r w:rsidR="001518DA">
              <w:t xml:space="preserve">serves as the BPS Degree liaison. </w:t>
            </w:r>
            <w:r>
              <w:t>For this proposed concentration in Strategic Communication, it would be the Dean of the Faculty of Arts &amp; Sciences</w:t>
            </w:r>
            <w:r w:rsidR="00FE4237" w:rsidRPr="00FE4237">
              <w:rPr>
                <w:rFonts w:asciiTheme="minorHAnsi" w:hAnsiTheme="minorHAnsi" w:cs="Arial"/>
              </w:rPr>
              <w:t xml:space="preserve">. </w:t>
            </w:r>
          </w:p>
          <w:p w14:paraId="46CEF737" w14:textId="77777777" w:rsidR="00FB780E" w:rsidRPr="00046F55" w:rsidRDefault="00FB780E" w:rsidP="00FE4237">
            <w:pPr>
              <w:rPr>
                <w:rFonts w:asciiTheme="minorHAnsi" w:hAnsiTheme="minorHAnsi"/>
              </w:rPr>
            </w:pPr>
          </w:p>
          <w:p w14:paraId="6D441AC5" w14:textId="77777777" w:rsidR="00046F55" w:rsidRPr="00046F55" w:rsidRDefault="00046F55" w:rsidP="00FE4237">
            <w:pPr>
              <w:rPr>
                <w:rFonts w:asciiTheme="minorHAnsi" w:hAnsiTheme="minorHAnsi"/>
              </w:rPr>
            </w:pPr>
            <w:r w:rsidRPr="00046F55">
              <w:rPr>
                <w:rFonts w:asciiTheme="minorHAnsi" w:hAnsiTheme="minorHAnsi"/>
              </w:rPr>
              <w:t>In addition to this proposal, we have developed three new courses: COMM 328 Case Studies in Public Relations, COMM 439 Crisis Communication, and BPS 462 Seminar in Strategic Communication to accompany creation of the new concentration. A proposal for a Certificate of Undergraduate Study in Conflict and Crisis Communication will also be submitted to support the new concentration.</w:t>
            </w:r>
          </w:p>
          <w:p w14:paraId="41EFFC68" w14:textId="24F88647" w:rsidR="00046F55" w:rsidRPr="00FE4237" w:rsidRDefault="00046F55" w:rsidP="00FE4237">
            <w:pPr>
              <w:rPr>
                <w:rFonts w:asciiTheme="minorHAnsi" w:hAnsiTheme="minorHAnsi"/>
                <w:b/>
              </w:rPr>
            </w:pPr>
          </w:p>
        </w:tc>
      </w:tr>
      <w:tr w:rsidR="001A7FF7" w:rsidRPr="006E3AF2" w14:paraId="376213DA" w14:textId="77777777" w:rsidTr="00771D00">
        <w:tc>
          <w:tcPr>
            <w:tcW w:w="663" w:type="pct"/>
            <w:vAlign w:val="center"/>
          </w:tcPr>
          <w:p w14:paraId="33B2C632" w14:textId="77777777" w:rsidR="001A7FF7" w:rsidRDefault="001A7FF7" w:rsidP="001A7FF7">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1832191" w:rsidR="001A7FF7" w:rsidRDefault="001A7FF7" w:rsidP="001A7FF7"/>
        </w:tc>
        <w:tc>
          <w:tcPr>
            <w:tcW w:w="4337" w:type="pct"/>
            <w:gridSpan w:val="5"/>
          </w:tcPr>
          <w:p w14:paraId="0194753B" w14:textId="2F29CBFB" w:rsidR="001A7FF7" w:rsidRPr="00B649C4" w:rsidRDefault="003D680F" w:rsidP="001A7FF7">
            <w:pPr>
              <w:rPr>
                <w:b/>
              </w:rPr>
            </w:pPr>
            <w:bookmarkStart w:id="8" w:name="student_impact"/>
            <w:bookmarkEnd w:id="8"/>
            <w:r>
              <w:rPr>
                <w:b/>
              </w:rPr>
              <w:t>Will provide a realistic and targeted opportunity for adults with extensive work experience to complete a Rhode Island College bachelor’s degree. Students completing this degree will be more competitive for career advancement opportunities</w:t>
            </w:r>
            <w:r w:rsidR="001A7FF7">
              <w:rPr>
                <w:b/>
              </w:rPr>
              <w:t>.</w:t>
            </w:r>
          </w:p>
        </w:tc>
      </w:tr>
      <w:tr w:rsidR="001A7FF7" w:rsidRPr="006E3AF2" w14:paraId="7D9FD828" w14:textId="77777777" w:rsidTr="00771D00">
        <w:tc>
          <w:tcPr>
            <w:tcW w:w="663" w:type="pct"/>
            <w:vAlign w:val="center"/>
          </w:tcPr>
          <w:p w14:paraId="06D8C9D5" w14:textId="7BD402C9" w:rsidR="001A7FF7" w:rsidRPr="00B649C4" w:rsidRDefault="001A7FF7" w:rsidP="001A7FF7">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4337" w:type="pct"/>
            <w:gridSpan w:val="5"/>
          </w:tcPr>
          <w:p w14:paraId="45C3A50E" w14:textId="2052E4B9" w:rsidR="001A7FF7" w:rsidRPr="00B649C4" w:rsidRDefault="003D680F" w:rsidP="001A7FF7">
            <w:pPr>
              <w:rPr>
                <w:b/>
              </w:rPr>
            </w:pPr>
            <w:bookmarkStart w:id="9" w:name="prog_impact"/>
            <w:bookmarkEnd w:id="9"/>
            <w:r>
              <w:rPr>
                <w:b/>
              </w:rPr>
              <w:t xml:space="preserve">Minimal, though it is possible some adult students currently attending RIC may opt for this new program instead of their current major, especially some of our Finish Strong students. The population eligible for the BPS program is different than the population of traditional </w:t>
            </w:r>
            <w:r>
              <w:rPr>
                <w:b/>
              </w:rPr>
              <w:lastRenderedPageBreak/>
              <w:t>high school students entering college for the B.A. and should therefore not affect the B.A. program.</w:t>
            </w:r>
            <w:r w:rsidR="00FB780E">
              <w:rPr>
                <w:b/>
              </w:rPr>
              <w:t xml:space="preserve"> Moreover, the BPS and BA are comprised of a different set of courses, the BPA having courses designed for students working in the field.</w:t>
            </w:r>
          </w:p>
        </w:tc>
      </w:tr>
      <w:tr w:rsidR="001A7FF7" w:rsidRPr="00C25F9D" w14:paraId="45F9633F" w14:textId="77777777" w:rsidTr="00771D00">
        <w:trPr>
          <w:cantSplit/>
        </w:trPr>
        <w:tc>
          <w:tcPr>
            <w:tcW w:w="663" w:type="pct"/>
            <w:vMerge w:val="restart"/>
            <w:vAlign w:val="center"/>
          </w:tcPr>
          <w:p w14:paraId="42B7BD53" w14:textId="77777777" w:rsidR="001A7FF7" w:rsidRPr="00B649C4" w:rsidRDefault="001A7FF7" w:rsidP="001A7FF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231" w:type="pct"/>
          </w:tcPr>
          <w:p w14:paraId="1DE6FEAF" w14:textId="77777777" w:rsidR="001A7FF7" w:rsidRDefault="00000000" w:rsidP="001A7FF7">
            <w:hyperlink w:anchor="faculty" w:tooltip="Need to hire new full-time or part-time faculty? This is where you indicate if this proposal will be affecting FLH in your department/program." w:history="1">
              <w:r w:rsidR="001A7FF7" w:rsidRPr="00905E67">
                <w:rPr>
                  <w:rStyle w:val="Hyperlink"/>
                  <w:i/>
                </w:rPr>
                <w:t>Faculty PT &amp; FT</w:t>
              </w:r>
            </w:hyperlink>
            <w:r w:rsidR="001A7FF7">
              <w:t xml:space="preserve">: </w:t>
            </w:r>
          </w:p>
        </w:tc>
        <w:tc>
          <w:tcPr>
            <w:tcW w:w="6695" w:type="dxa"/>
            <w:gridSpan w:val="4"/>
          </w:tcPr>
          <w:p w14:paraId="41C537C5" w14:textId="07760232" w:rsidR="001A7FF7" w:rsidRPr="00C25F9D" w:rsidRDefault="001A7FF7" w:rsidP="001A7FF7">
            <w:pPr>
              <w:rPr>
                <w:b/>
              </w:rPr>
            </w:pPr>
            <w:r>
              <w:rPr>
                <w:b/>
              </w:rPr>
              <w:t>3 existing FT faculty; no new hires at this time</w:t>
            </w:r>
          </w:p>
        </w:tc>
      </w:tr>
      <w:tr w:rsidR="001A7FF7" w:rsidRPr="00C25F9D" w14:paraId="636A3B25" w14:textId="77777777" w:rsidTr="00771D00">
        <w:trPr>
          <w:cantSplit/>
        </w:trPr>
        <w:tc>
          <w:tcPr>
            <w:tcW w:w="663" w:type="pct"/>
            <w:vMerge/>
            <w:vAlign w:val="center"/>
          </w:tcPr>
          <w:p w14:paraId="0B614A32" w14:textId="77777777" w:rsidR="001A7FF7" w:rsidRPr="00B649C4" w:rsidRDefault="001A7FF7" w:rsidP="001A7FF7"/>
        </w:tc>
        <w:tc>
          <w:tcPr>
            <w:tcW w:w="1231" w:type="pct"/>
          </w:tcPr>
          <w:p w14:paraId="2E681FA1" w14:textId="77777777" w:rsidR="001A7FF7" w:rsidRPr="000E2CBA" w:rsidRDefault="00000000" w:rsidP="001A7FF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A7FF7" w:rsidRPr="004313E6">
                <w:rPr>
                  <w:rStyle w:val="Hyperlink"/>
                  <w:i/>
                </w:rPr>
                <w:t>Library</w:t>
              </w:r>
              <w:r w:rsidR="001A7FF7" w:rsidRPr="004313E6">
                <w:rPr>
                  <w:rStyle w:val="Hyperlink"/>
                </w:rPr>
                <w:t>:</w:t>
              </w:r>
            </w:hyperlink>
          </w:p>
        </w:tc>
        <w:tc>
          <w:tcPr>
            <w:tcW w:w="6695" w:type="dxa"/>
            <w:gridSpan w:val="4"/>
          </w:tcPr>
          <w:p w14:paraId="6B92378E" w14:textId="306E1ABF" w:rsidR="001A7FF7" w:rsidRPr="00C25F9D" w:rsidRDefault="00771D00" w:rsidP="001A7FF7">
            <w:pPr>
              <w:rPr>
                <w:b/>
              </w:rPr>
            </w:pPr>
            <w:r>
              <w:rPr>
                <w:b/>
              </w:rPr>
              <w:t>None</w:t>
            </w:r>
          </w:p>
        </w:tc>
      </w:tr>
      <w:tr w:rsidR="001A7FF7" w:rsidRPr="00C25F9D" w14:paraId="186A9C2E" w14:textId="77777777" w:rsidTr="00771D00">
        <w:trPr>
          <w:cantSplit/>
        </w:trPr>
        <w:tc>
          <w:tcPr>
            <w:tcW w:w="663" w:type="pct"/>
            <w:vMerge/>
            <w:vAlign w:val="center"/>
          </w:tcPr>
          <w:p w14:paraId="7D6BDE51" w14:textId="77777777" w:rsidR="001A7FF7" w:rsidRPr="00B649C4" w:rsidRDefault="001A7FF7" w:rsidP="001A7FF7"/>
        </w:tc>
        <w:tc>
          <w:tcPr>
            <w:tcW w:w="1231" w:type="pct"/>
          </w:tcPr>
          <w:p w14:paraId="2E3CCE80" w14:textId="77777777" w:rsidR="001A7FF7" w:rsidRPr="00704CFF" w:rsidRDefault="00000000" w:rsidP="001A7FF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1A7FF7" w:rsidRPr="00A87611">
                <w:rPr>
                  <w:rStyle w:val="Hyperlink"/>
                  <w:i/>
                </w:rPr>
                <w:t>Technology</w:t>
              </w:r>
            </w:hyperlink>
          </w:p>
        </w:tc>
        <w:tc>
          <w:tcPr>
            <w:tcW w:w="6695" w:type="dxa"/>
            <w:gridSpan w:val="4"/>
          </w:tcPr>
          <w:p w14:paraId="6DCACEC0" w14:textId="4CA7BBD2" w:rsidR="001A7FF7" w:rsidRPr="00C25F9D" w:rsidRDefault="00805675" w:rsidP="001A7FF7">
            <w:pPr>
              <w:rPr>
                <w:b/>
              </w:rPr>
            </w:pPr>
            <w:r>
              <w:rPr>
                <w:b/>
              </w:rPr>
              <w:t>Later hours that coincide with when BPS sections are offered may be needed from the Help Center.</w:t>
            </w:r>
          </w:p>
        </w:tc>
      </w:tr>
      <w:tr w:rsidR="001A7FF7" w:rsidRPr="00C25F9D" w14:paraId="6717F369" w14:textId="77777777" w:rsidTr="00771D00">
        <w:trPr>
          <w:cantSplit/>
        </w:trPr>
        <w:tc>
          <w:tcPr>
            <w:tcW w:w="663" w:type="pct"/>
            <w:vMerge/>
            <w:vAlign w:val="center"/>
          </w:tcPr>
          <w:p w14:paraId="4CF65113" w14:textId="77777777" w:rsidR="001A7FF7" w:rsidRPr="00B649C4" w:rsidRDefault="001A7FF7" w:rsidP="001A7FF7"/>
        </w:tc>
        <w:tc>
          <w:tcPr>
            <w:tcW w:w="1231" w:type="pct"/>
          </w:tcPr>
          <w:p w14:paraId="209120DE" w14:textId="77777777" w:rsidR="001A7FF7" w:rsidRPr="000E2CBA" w:rsidRDefault="00000000" w:rsidP="001A7FF7">
            <w:pPr>
              <w:rPr>
                <w:i/>
              </w:rPr>
            </w:pPr>
            <w:hyperlink w:anchor="facilities" w:tooltip="Any special facilities needs? Out-of-pattern scheduling? Other?" w:history="1">
              <w:r w:rsidR="001A7FF7" w:rsidRPr="00905E67">
                <w:rPr>
                  <w:rStyle w:val="Hyperlink"/>
                  <w:i/>
                </w:rPr>
                <w:t>Facilities</w:t>
              </w:r>
            </w:hyperlink>
            <w:r w:rsidR="001A7FF7">
              <w:t>:</w:t>
            </w:r>
          </w:p>
        </w:tc>
        <w:tc>
          <w:tcPr>
            <w:tcW w:w="6695" w:type="dxa"/>
            <w:gridSpan w:val="4"/>
          </w:tcPr>
          <w:p w14:paraId="7AA6ABC1" w14:textId="30E8B7EB" w:rsidR="001A7FF7" w:rsidRPr="00C25F9D" w:rsidRDefault="00771D00" w:rsidP="001A7FF7">
            <w:pPr>
              <w:rPr>
                <w:b/>
              </w:rPr>
            </w:pPr>
            <w:r>
              <w:rPr>
                <w:b/>
              </w:rPr>
              <w:t>None</w:t>
            </w:r>
          </w:p>
        </w:tc>
      </w:tr>
      <w:tr w:rsidR="001A7FF7" w:rsidRPr="006E3AF2" w14:paraId="6C89A581" w14:textId="77777777" w:rsidTr="00771D00">
        <w:trPr>
          <w:cantSplit/>
        </w:trPr>
        <w:tc>
          <w:tcPr>
            <w:tcW w:w="663" w:type="pct"/>
            <w:vAlign w:val="center"/>
          </w:tcPr>
          <w:p w14:paraId="22E79A62" w14:textId="7C9B28A0" w:rsidR="001A7FF7" w:rsidRPr="00B649C4" w:rsidRDefault="001A7FF7" w:rsidP="001A7FF7">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231" w:type="pct"/>
          </w:tcPr>
          <w:p w14:paraId="2A1A78BF" w14:textId="0557B3BC" w:rsidR="001A7FF7" w:rsidRPr="00B605CE" w:rsidRDefault="001A7FF7" w:rsidP="001A7FF7">
            <w:pPr>
              <w:rPr>
                <w:b/>
              </w:rPr>
            </w:pPr>
            <w:bookmarkStart w:id="10" w:name="date_submitted"/>
            <w:bookmarkEnd w:id="10"/>
            <w:r>
              <w:rPr>
                <w:b/>
              </w:rPr>
              <w:t>Fall 2023</w:t>
            </w:r>
          </w:p>
        </w:tc>
        <w:tc>
          <w:tcPr>
            <w:tcW w:w="1562" w:type="pct"/>
            <w:gridSpan w:val="2"/>
          </w:tcPr>
          <w:p w14:paraId="5496F461" w14:textId="155AC705" w:rsidR="001A7FF7" w:rsidRPr="00B605CE" w:rsidRDefault="001A7FF7" w:rsidP="001A7FF7">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543" w:type="pct"/>
            <w:gridSpan w:val="2"/>
          </w:tcPr>
          <w:p w14:paraId="3E2A0188" w14:textId="5B3D384C" w:rsidR="001A7FF7" w:rsidRPr="00B605CE" w:rsidRDefault="001A7FF7" w:rsidP="001A7FF7">
            <w:pPr>
              <w:rPr>
                <w:b/>
              </w:rPr>
            </w:pPr>
            <w:bookmarkStart w:id="11" w:name="Semester_effective"/>
            <w:bookmarkEnd w:id="11"/>
          </w:p>
        </w:tc>
      </w:tr>
      <w:tr w:rsidR="001A7FF7" w:rsidRPr="006E3AF2" w14:paraId="017D18C5" w14:textId="77777777" w:rsidTr="00771D00">
        <w:trPr>
          <w:cantSplit/>
        </w:trPr>
        <w:tc>
          <w:tcPr>
            <w:tcW w:w="5000" w:type="pct"/>
            <w:gridSpan w:val="6"/>
            <w:vAlign w:val="center"/>
          </w:tcPr>
          <w:p w14:paraId="2F7047BE" w14:textId="2BDD27D6" w:rsidR="001A7FF7" w:rsidRPr="00913143" w:rsidRDefault="001A7FF7" w:rsidP="001A7FF7">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1A7FF7" w:rsidRPr="006E3AF2" w14:paraId="3E169CC4" w14:textId="77777777" w:rsidTr="00771D00">
        <w:trPr>
          <w:cantSplit/>
        </w:trPr>
        <w:tc>
          <w:tcPr>
            <w:tcW w:w="5000" w:type="pct"/>
            <w:gridSpan w:val="6"/>
            <w:vAlign w:val="center"/>
          </w:tcPr>
          <w:p w14:paraId="0FA4BDEB" w14:textId="417AC005" w:rsidR="001A7FF7" w:rsidRPr="00CF0A1D" w:rsidRDefault="001A7FF7" w:rsidP="001A7FF7">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1A7FF7" w:rsidRPr="006E3AF2" w14:paraId="07BC844E" w14:textId="77777777" w:rsidTr="00771D00">
        <w:trPr>
          <w:cantSplit/>
        </w:trPr>
        <w:tc>
          <w:tcPr>
            <w:tcW w:w="5000" w:type="pct"/>
            <w:gridSpan w:val="6"/>
            <w:vAlign w:val="center"/>
          </w:tcPr>
          <w:p w14:paraId="7083B4D0" w14:textId="29624BCB" w:rsidR="001A7FF7" w:rsidRDefault="001A7FF7" w:rsidP="001A7FF7">
            <w:pPr>
              <w:rPr>
                <w:sz w:val="20"/>
                <w:szCs w:val="20"/>
              </w:rPr>
            </w:pPr>
            <w:r>
              <w:rPr>
                <w:sz w:val="20"/>
                <w:szCs w:val="20"/>
              </w:rPr>
              <w:t xml:space="preserve">A. 12 </w:t>
            </w:r>
            <w:r w:rsidRPr="00E500F9">
              <w:rPr>
                <w:b/>
                <w:sz w:val="20"/>
                <w:szCs w:val="20"/>
              </w:rPr>
              <w:t xml:space="preserve">Check to see if your proposal will impact any of our </w:t>
            </w:r>
            <w:hyperlink r:id="rId14"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1A7FF7" w:rsidRPr="006E3AF2" w14:paraId="595E0072" w14:textId="77777777" w:rsidTr="00771D00">
        <w:trPr>
          <w:cantSplit/>
        </w:trPr>
        <w:tc>
          <w:tcPr>
            <w:tcW w:w="5000" w:type="pct"/>
            <w:gridSpan w:val="6"/>
            <w:vAlign w:val="center"/>
          </w:tcPr>
          <w:p w14:paraId="74D63938" w14:textId="47933722" w:rsidR="001A7FF7" w:rsidRDefault="001A7FF7" w:rsidP="001A7FF7">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2" w:name="program_proposals"/>
        <w:bookmarkEnd w:id="12"/>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15"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2470"/>
        <w:gridCol w:w="5210"/>
      </w:tblGrid>
      <w:tr w:rsidR="00F64260" w:rsidRPr="006E3AF2" w14:paraId="1AE46BD8" w14:textId="77777777" w:rsidTr="008F3747">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247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3" w:name="old_program"/>
              <w:bookmarkEnd w:id="13"/>
            </w:hyperlink>
          </w:p>
        </w:tc>
        <w:tc>
          <w:tcPr>
            <w:tcW w:w="521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8F3747">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2470" w:type="dxa"/>
            <w:noWrap/>
          </w:tcPr>
          <w:p w14:paraId="057D225D" w14:textId="139A7C53" w:rsidR="00917FC6" w:rsidRPr="009F029C" w:rsidRDefault="00917FC6" w:rsidP="00120C12">
            <w:pPr>
              <w:spacing w:line="240" w:lineRule="auto"/>
              <w:rPr>
                <w:b/>
              </w:rPr>
            </w:pPr>
            <w:bookmarkStart w:id="14" w:name="enrollments"/>
            <w:bookmarkEnd w:id="14"/>
          </w:p>
        </w:tc>
        <w:tc>
          <w:tcPr>
            <w:tcW w:w="5210" w:type="dxa"/>
            <w:noWrap/>
          </w:tcPr>
          <w:p w14:paraId="69D5DF10" w14:textId="77777777" w:rsidR="00E75C7C" w:rsidRDefault="00E75C7C" w:rsidP="00E75C7C">
            <w:pPr>
              <w:spacing w:line="240" w:lineRule="auto"/>
              <w:rPr>
                <w:b/>
              </w:rPr>
            </w:pPr>
            <w:r>
              <w:rPr>
                <w:b/>
              </w:rPr>
              <w:t>10-12 for Fall 2023 cohort</w:t>
            </w:r>
          </w:p>
          <w:p w14:paraId="2C9C0D13" w14:textId="4CDB5B87" w:rsidR="00917FC6" w:rsidRPr="009F029C" w:rsidRDefault="00E75C7C" w:rsidP="00E75C7C">
            <w:pPr>
              <w:spacing w:line="240" w:lineRule="auto"/>
              <w:rPr>
                <w:b/>
              </w:rPr>
            </w:pPr>
            <w:r>
              <w:rPr>
                <w:b/>
              </w:rPr>
              <w:t>15-17 for Fall 2024 cohort</w:t>
            </w:r>
          </w:p>
        </w:tc>
      </w:tr>
      <w:tr w:rsidR="00AA5F73" w:rsidRPr="006E3AF2" w14:paraId="649EDB30" w14:textId="77777777" w:rsidTr="008F3747">
        <w:tc>
          <w:tcPr>
            <w:tcW w:w="3100" w:type="dxa"/>
            <w:noWrap/>
            <w:vAlign w:val="center"/>
          </w:tcPr>
          <w:p w14:paraId="0FA4359A" w14:textId="4142F49A" w:rsidR="00AA5F73" w:rsidRDefault="00AA5F73" w:rsidP="00310D95">
            <w:pPr>
              <w:spacing w:line="240" w:lineRule="auto"/>
            </w:pPr>
            <w:r>
              <w:t xml:space="preserve">C. 2. </w:t>
            </w:r>
            <w:bookmarkStart w:id="15"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5"/>
            <w:r w:rsidR="0005769F">
              <w:fldChar w:fldCharType="end"/>
            </w:r>
          </w:p>
        </w:tc>
        <w:tc>
          <w:tcPr>
            <w:tcW w:w="2470" w:type="dxa"/>
            <w:noWrap/>
          </w:tcPr>
          <w:p w14:paraId="29A90B7F" w14:textId="77777777" w:rsidR="00AA5F73" w:rsidRPr="009F029C" w:rsidRDefault="00AA5F73" w:rsidP="00120C12">
            <w:pPr>
              <w:spacing w:line="240" w:lineRule="auto"/>
              <w:rPr>
                <w:b/>
              </w:rPr>
            </w:pPr>
          </w:p>
        </w:tc>
        <w:tc>
          <w:tcPr>
            <w:tcW w:w="5210" w:type="dxa"/>
            <w:noWrap/>
          </w:tcPr>
          <w:p w14:paraId="552AC39A" w14:textId="72F8A749" w:rsidR="00AA5F73" w:rsidRPr="009F029C" w:rsidRDefault="00917FC6" w:rsidP="00120C12">
            <w:pPr>
              <w:spacing w:line="240" w:lineRule="auto"/>
              <w:rPr>
                <w:b/>
              </w:rPr>
            </w:pPr>
            <w:r>
              <w:rPr>
                <w:b/>
              </w:rPr>
              <w:t>09.</w:t>
            </w:r>
            <w:r w:rsidR="005F7BBB">
              <w:rPr>
                <w:b/>
              </w:rPr>
              <w:t>0</w:t>
            </w:r>
            <w:r>
              <w:rPr>
                <w:b/>
              </w:rPr>
              <w:t>9</w:t>
            </w:r>
            <w:r w:rsidR="005F7BBB">
              <w:rPr>
                <w:b/>
              </w:rPr>
              <w:t>0</w:t>
            </w:r>
            <w:r>
              <w:rPr>
                <w:b/>
              </w:rPr>
              <w:t>9</w:t>
            </w:r>
          </w:p>
        </w:tc>
      </w:tr>
      <w:tr w:rsidR="007E0F25" w:rsidRPr="006E3AF2" w14:paraId="0A95C54B" w14:textId="77777777" w:rsidTr="008F3747">
        <w:tc>
          <w:tcPr>
            <w:tcW w:w="3100" w:type="dxa"/>
            <w:noWrap/>
            <w:vAlign w:val="center"/>
          </w:tcPr>
          <w:p w14:paraId="2E4F2469" w14:textId="04212556" w:rsidR="007E0F25" w:rsidRDefault="007E0F25" w:rsidP="007E0F25">
            <w:pPr>
              <w:spacing w:line="240" w:lineRule="auto"/>
            </w:pPr>
            <w:r>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310D95">
                <w:rPr>
                  <w:rStyle w:val="Hyperlink"/>
                </w:rPr>
                <w:t>Admission requirements</w:t>
              </w:r>
            </w:hyperlink>
          </w:p>
        </w:tc>
        <w:tc>
          <w:tcPr>
            <w:tcW w:w="2470" w:type="dxa"/>
            <w:noWrap/>
          </w:tcPr>
          <w:p w14:paraId="2D34A0B2" w14:textId="77777777" w:rsidR="007E0F25" w:rsidRPr="009F029C" w:rsidRDefault="007E0F25" w:rsidP="007E0F25">
            <w:pPr>
              <w:spacing w:line="240" w:lineRule="auto"/>
              <w:rPr>
                <w:b/>
              </w:rPr>
            </w:pPr>
            <w:bookmarkStart w:id="16" w:name="admissions"/>
            <w:bookmarkEnd w:id="16"/>
          </w:p>
        </w:tc>
        <w:tc>
          <w:tcPr>
            <w:tcW w:w="5210" w:type="dxa"/>
            <w:noWrap/>
          </w:tcPr>
          <w:p w14:paraId="57058A41" w14:textId="1ADBA54B" w:rsidR="007E0F25" w:rsidRPr="009F029C" w:rsidRDefault="007E0F25" w:rsidP="007E0F25">
            <w:pPr>
              <w:spacing w:line="240" w:lineRule="auto"/>
              <w:rPr>
                <w:b/>
              </w:rPr>
            </w:pPr>
            <w:r>
              <w:rPr>
                <w:b/>
              </w:rPr>
              <w:t>Adult students (25 and up); minimum of 5 years of documented comprehensive work experience; minimum of 24 earned college credits with a minimum cumulative GPA of 2.00.</w:t>
            </w:r>
          </w:p>
        </w:tc>
      </w:tr>
      <w:tr w:rsidR="007E0F25" w:rsidRPr="006E3AF2" w14:paraId="61F34EB3" w14:textId="77777777" w:rsidTr="008F3747">
        <w:tc>
          <w:tcPr>
            <w:tcW w:w="3100" w:type="dxa"/>
            <w:noWrap/>
            <w:vAlign w:val="center"/>
          </w:tcPr>
          <w:p w14:paraId="2EBE9461" w14:textId="0E3A901C" w:rsidR="007E0F25" w:rsidRDefault="007E0F25" w:rsidP="007E0F25">
            <w:pPr>
              <w:spacing w:line="240" w:lineRule="auto"/>
            </w:pPr>
            <w:r>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310D95">
                <w:rPr>
                  <w:rStyle w:val="Hyperlink"/>
                </w:rPr>
                <w:t>Retention requirements</w:t>
              </w:r>
            </w:hyperlink>
          </w:p>
        </w:tc>
        <w:tc>
          <w:tcPr>
            <w:tcW w:w="2470" w:type="dxa"/>
            <w:noWrap/>
          </w:tcPr>
          <w:p w14:paraId="604F27AD" w14:textId="77777777" w:rsidR="007E0F25" w:rsidRPr="009F029C" w:rsidRDefault="007E0F25" w:rsidP="007E0F25">
            <w:pPr>
              <w:spacing w:line="240" w:lineRule="auto"/>
              <w:rPr>
                <w:b/>
              </w:rPr>
            </w:pPr>
            <w:bookmarkStart w:id="17" w:name="retention"/>
            <w:bookmarkEnd w:id="17"/>
          </w:p>
        </w:tc>
        <w:tc>
          <w:tcPr>
            <w:tcW w:w="5210" w:type="dxa"/>
            <w:noWrap/>
          </w:tcPr>
          <w:p w14:paraId="57B1FAE7" w14:textId="7A1C26B9" w:rsidR="007E0F25" w:rsidRPr="009F029C" w:rsidRDefault="007E0F25" w:rsidP="007E0F25">
            <w:pPr>
              <w:spacing w:line="240" w:lineRule="auto"/>
              <w:rPr>
                <w:b/>
              </w:rPr>
            </w:pPr>
            <w:r>
              <w:rPr>
                <w:b/>
              </w:rPr>
              <w:t>Minimum of 2.00 to remain in good academic standing</w:t>
            </w:r>
          </w:p>
        </w:tc>
      </w:tr>
      <w:tr w:rsidR="007E0F25" w:rsidRPr="006E3AF2" w14:paraId="43B2AD3F" w14:textId="77777777" w:rsidTr="008F3747">
        <w:tc>
          <w:tcPr>
            <w:tcW w:w="3100" w:type="dxa"/>
            <w:noWrap/>
            <w:vAlign w:val="center"/>
          </w:tcPr>
          <w:p w14:paraId="4E1F209D" w14:textId="4AE82F19" w:rsidR="007E0F25" w:rsidRDefault="007E0F25" w:rsidP="007E0F25">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2470" w:type="dxa"/>
            <w:noWrap/>
          </w:tcPr>
          <w:p w14:paraId="1B32FCFB" w14:textId="1DC65707" w:rsidR="007E0F25" w:rsidRPr="009F77CC" w:rsidRDefault="007E0F25" w:rsidP="007E0F25">
            <w:pPr>
              <w:spacing w:line="240" w:lineRule="auto"/>
            </w:pPr>
            <w:bookmarkStart w:id="18" w:name="course_reqs"/>
            <w:bookmarkEnd w:id="18"/>
          </w:p>
        </w:tc>
        <w:tc>
          <w:tcPr>
            <w:tcW w:w="5210" w:type="dxa"/>
            <w:noWrap/>
          </w:tcPr>
          <w:p w14:paraId="2186811A" w14:textId="0E2E89D8" w:rsidR="007E0F25" w:rsidRDefault="007E0F25" w:rsidP="007E0F25">
            <w:pPr>
              <w:spacing w:line="240" w:lineRule="auto"/>
              <w:rPr>
                <w:b/>
              </w:rPr>
            </w:pPr>
            <w:r>
              <w:rPr>
                <w:b/>
              </w:rPr>
              <w:t xml:space="preserve">CONCENTRATION in Strategic Communication </w:t>
            </w:r>
          </w:p>
          <w:p w14:paraId="44974E42" w14:textId="77777777" w:rsidR="00771D00" w:rsidRPr="009F77CC" w:rsidRDefault="00771D00" w:rsidP="00771D00">
            <w:pPr>
              <w:spacing w:line="240" w:lineRule="auto"/>
            </w:pPr>
            <w:r>
              <w:t>BPS 462 Seminar in Strategic Communication</w:t>
            </w:r>
          </w:p>
          <w:p w14:paraId="58F63CDE" w14:textId="3B0D3F10" w:rsidR="007E0F25" w:rsidRDefault="007E0F25" w:rsidP="007E0F25">
            <w:pPr>
              <w:spacing w:line="240" w:lineRule="auto"/>
            </w:pPr>
            <w:r w:rsidRPr="009F77CC">
              <w:t>COMM 20</w:t>
            </w:r>
            <w:r>
              <w:t>8 Public Presentations</w:t>
            </w:r>
            <w:r w:rsidRPr="009F77CC">
              <w:t xml:space="preserve"> </w:t>
            </w:r>
          </w:p>
          <w:p w14:paraId="06391731" w14:textId="511FAF3E" w:rsidR="007E0F25" w:rsidRDefault="007E0F25" w:rsidP="007E0F25">
            <w:pPr>
              <w:spacing w:line="240" w:lineRule="auto"/>
            </w:pPr>
            <w:r>
              <w:t xml:space="preserve">COMM 256 </w:t>
            </w:r>
            <w:r w:rsidR="00E11B53">
              <w:t>Human Communication and New Technology</w:t>
            </w:r>
            <w:r w:rsidR="00EC7C0E">
              <w:t xml:space="preserve"> </w:t>
            </w:r>
            <w:r w:rsidR="00EC7C0E" w:rsidRPr="00EC7C0E">
              <w:rPr>
                <w:rFonts w:asciiTheme="majorHAnsi" w:hAnsiTheme="majorHAnsi" w:cstheme="majorHAnsi"/>
                <w:sz w:val="20"/>
                <w:szCs w:val="20"/>
              </w:rPr>
              <w:t xml:space="preserve">(hoping to turn </w:t>
            </w:r>
            <w:r w:rsidR="00EC7C0E">
              <w:rPr>
                <w:rFonts w:asciiTheme="majorHAnsi" w:hAnsiTheme="majorHAnsi" w:cstheme="majorHAnsi"/>
                <w:sz w:val="20"/>
                <w:szCs w:val="20"/>
              </w:rPr>
              <w:t>COMM 256</w:t>
            </w:r>
            <w:r w:rsidR="00EC7C0E" w:rsidRPr="00EC7C0E">
              <w:rPr>
                <w:rFonts w:asciiTheme="majorHAnsi" w:hAnsiTheme="majorHAnsi" w:cstheme="majorHAnsi"/>
                <w:sz w:val="20"/>
                <w:szCs w:val="20"/>
              </w:rPr>
              <w:t xml:space="preserve"> into a Gen Ed. course, proposal needs to </w:t>
            </w:r>
            <w:r w:rsidR="00EC7C0E">
              <w:rPr>
                <w:rFonts w:asciiTheme="majorHAnsi" w:hAnsiTheme="majorHAnsi" w:cstheme="majorHAnsi"/>
                <w:sz w:val="20"/>
                <w:szCs w:val="20"/>
              </w:rPr>
              <w:t>be approved by</w:t>
            </w:r>
            <w:r w:rsidR="00EC7C0E" w:rsidRPr="00EC7C0E">
              <w:rPr>
                <w:rFonts w:asciiTheme="majorHAnsi" w:hAnsiTheme="majorHAnsi" w:cstheme="majorHAnsi"/>
                <w:sz w:val="20"/>
                <w:szCs w:val="20"/>
              </w:rPr>
              <w:t xml:space="preserve"> COGE)</w:t>
            </w:r>
          </w:p>
          <w:p w14:paraId="2DE0FAB8" w14:textId="6BF0BA92" w:rsidR="00771D00" w:rsidRPr="009F77CC" w:rsidRDefault="00771D00" w:rsidP="00771D00">
            <w:pPr>
              <w:spacing w:line="240" w:lineRule="auto"/>
            </w:pPr>
            <w:r w:rsidRPr="009F77CC">
              <w:t>COMM 312</w:t>
            </w:r>
            <w:r w:rsidR="00C30767">
              <w:t>W</w:t>
            </w:r>
            <w:r w:rsidRPr="009F77CC">
              <w:t xml:space="preserve"> Advanced Writing for Strategic Communication</w:t>
            </w:r>
          </w:p>
          <w:p w14:paraId="0ADF567F" w14:textId="4792C872" w:rsidR="007E0F25" w:rsidRDefault="007E0F25" w:rsidP="007E0F25">
            <w:pPr>
              <w:spacing w:line="240" w:lineRule="auto"/>
            </w:pPr>
            <w:r>
              <w:t>COMM 3</w:t>
            </w:r>
            <w:r w:rsidR="007C041F">
              <w:t>28</w:t>
            </w:r>
            <w:r>
              <w:t xml:space="preserve"> Case Studies in Public Relations </w:t>
            </w:r>
          </w:p>
          <w:p w14:paraId="65209EF8" w14:textId="77777777" w:rsidR="00E11B53" w:rsidRPr="009F77CC" w:rsidRDefault="00E11B53" w:rsidP="007E0F25">
            <w:pPr>
              <w:spacing w:line="240" w:lineRule="auto"/>
            </w:pPr>
          </w:p>
          <w:p w14:paraId="182198C6" w14:textId="77777777" w:rsidR="00E11B53" w:rsidRDefault="007E0F25" w:rsidP="00771D00">
            <w:pPr>
              <w:spacing w:line="240" w:lineRule="auto"/>
              <w:rPr>
                <w:i/>
              </w:rPr>
            </w:pPr>
            <w:r w:rsidRPr="009F77CC">
              <w:t xml:space="preserve">COMM 351 Persuasion </w:t>
            </w:r>
            <w:r w:rsidRPr="009F77CC">
              <w:rPr>
                <w:i/>
              </w:rPr>
              <w:t>or</w:t>
            </w:r>
            <w:r w:rsidR="00321F0F">
              <w:rPr>
                <w:i/>
              </w:rPr>
              <w:t xml:space="preserve"> </w:t>
            </w:r>
          </w:p>
          <w:p w14:paraId="1D314FF5" w14:textId="50423CC1" w:rsidR="00771D00" w:rsidRDefault="00771D00" w:rsidP="00771D00">
            <w:pPr>
              <w:spacing w:line="240" w:lineRule="auto"/>
            </w:pPr>
            <w:r w:rsidRPr="009F77CC">
              <w:t>COMM 352 Conflict Resolution</w:t>
            </w:r>
          </w:p>
          <w:p w14:paraId="48E9E6A6" w14:textId="77777777" w:rsidR="00E11B53" w:rsidRPr="00321F0F" w:rsidRDefault="00E11B53" w:rsidP="00771D00">
            <w:pPr>
              <w:spacing w:line="240" w:lineRule="auto"/>
              <w:rPr>
                <w:i/>
              </w:rPr>
            </w:pPr>
          </w:p>
          <w:p w14:paraId="0501A732" w14:textId="73D62E71" w:rsidR="007E0F25" w:rsidRPr="009F77CC" w:rsidRDefault="007E0F25" w:rsidP="007E0F25">
            <w:pPr>
              <w:spacing w:line="240" w:lineRule="auto"/>
            </w:pPr>
            <w:r w:rsidRPr="009F77CC">
              <w:t>COMM 357 Public Opinion and Propaganda</w:t>
            </w:r>
          </w:p>
          <w:p w14:paraId="4CCE7C18" w14:textId="2919F3C2" w:rsidR="007C041F" w:rsidRPr="009F77CC" w:rsidRDefault="007C041F" w:rsidP="007E0F25">
            <w:pPr>
              <w:spacing w:line="240" w:lineRule="auto"/>
            </w:pPr>
            <w:r>
              <w:t>COMM 439 Crisis Communication</w:t>
            </w:r>
          </w:p>
          <w:p w14:paraId="5BB38F49" w14:textId="63A92DB2" w:rsidR="007E0F25" w:rsidRDefault="007E0F25" w:rsidP="007E0F25">
            <w:pPr>
              <w:spacing w:line="240" w:lineRule="auto"/>
            </w:pPr>
            <w:r w:rsidRPr="009F77CC">
              <w:t>COMM 454 Organizational Communication</w:t>
            </w:r>
          </w:p>
          <w:p w14:paraId="0DA66663" w14:textId="77777777" w:rsidR="007E0F25" w:rsidRPr="009F029C" w:rsidRDefault="007E0F25" w:rsidP="007E0F25">
            <w:pPr>
              <w:spacing w:line="240" w:lineRule="auto"/>
              <w:rPr>
                <w:b/>
              </w:rPr>
            </w:pPr>
          </w:p>
        </w:tc>
      </w:tr>
      <w:tr w:rsidR="007E0F25" w:rsidRPr="006E3AF2" w14:paraId="07853955" w14:textId="77777777" w:rsidTr="008F3747">
        <w:tc>
          <w:tcPr>
            <w:tcW w:w="3100" w:type="dxa"/>
            <w:noWrap/>
            <w:vAlign w:val="center"/>
          </w:tcPr>
          <w:p w14:paraId="38AD1617" w14:textId="316E5DED" w:rsidR="007E0F25" w:rsidRDefault="007E0F25" w:rsidP="007E0F25">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2470" w:type="dxa"/>
            <w:noWrap/>
          </w:tcPr>
          <w:p w14:paraId="63353FC7" w14:textId="1566E6C7" w:rsidR="007E0F25" w:rsidRPr="009F029C" w:rsidRDefault="007E0F25" w:rsidP="007E0F25">
            <w:pPr>
              <w:spacing w:line="240" w:lineRule="auto"/>
              <w:rPr>
                <w:b/>
              </w:rPr>
            </w:pPr>
            <w:bookmarkStart w:id="19" w:name="credit_count"/>
            <w:bookmarkEnd w:id="19"/>
          </w:p>
        </w:tc>
        <w:tc>
          <w:tcPr>
            <w:tcW w:w="5210" w:type="dxa"/>
            <w:noWrap/>
          </w:tcPr>
          <w:p w14:paraId="0CDCA3D1" w14:textId="7BA21E14" w:rsidR="007E0F25" w:rsidRPr="009F029C" w:rsidRDefault="00A515BD" w:rsidP="007E0F25">
            <w:pPr>
              <w:spacing w:line="240" w:lineRule="auto"/>
              <w:rPr>
                <w:b/>
              </w:rPr>
            </w:pPr>
            <w:r>
              <w:rPr>
                <w:b/>
              </w:rPr>
              <w:t>36</w:t>
            </w:r>
          </w:p>
        </w:tc>
      </w:tr>
      <w:tr w:rsidR="007E0F25" w:rsidRPr="006E3AF2" w14:paraId="56A03B42" w14:textId="77777777" w:rsidTr="008F3747">
        <w:tc>
          <w:tcPr>
            <w:tcW w:w="3100" w:type="dxa"/>
            <w:noWrap/>
            <w:vAlign w:val="center"/>
          </w:tcPr>
          <w:p w14:paraId="19669E96" w14:textId="562E5EE0" w:rsidR="007E0F25" w:rsidRDefault="007E0F25" w:rsidP="007E0F25">
            <w:pPr>
              <w:spacing w:line="240" w:lineRule="auto"/>
            </w:pPr>
            <w:r>
              <w:t xml:space="preserve">C.7. </w:t>
            </w:r>
            <w:r w:rsidRPr="005E2D3D">
              <w:t>Program Accreditation</w:t>
            </w:r>
            <w:r>
              <w:t xml:space="preserve"> (if relevant)</w:t>
            </w:r>
          </w:p>
        </w:tc>
        <w:tc>
          <w:tcPr>
            <w:tcW w:w="2470" w:type="dxa"/>
            <w:noWrap/>
          </w:tcPr>
          <w:p w14:paraId="10DEA6B4" w14:textId="0945D26E" w:rsidR="007E0F25" w:rsidRPr="009F029C" w:rsidRDefault="007E0F25" w:rsidP="007E0F25">
            <w:pPr>
              <w:spacing w:line="240" w:lineRule="auto"/>
              <w:rPr>
                <w:b/>
              </w:rPr>
            </w:pPr>
          </w:p>
        </w:tc>
        <w:tc>
          <w:tcPr>
            <w:tcW w:w="5210" w:type="dxa"/>
            <w:noWrap/>
          </w:tcPr>
          <w:p w14:paraId="48AE026F" w14:textId="77777777" w:rsidR="007E0F25" w:rsidRPr="009F029C" w:rsidRDefault="007E0F25" w:rsidP="007E0F25">
            <w:pPr>
              <w:spacing w:line="240" w:lineRule="auto"/>
              <w:rPr>
                <w:b/>
              </w:rPr>
            </w:pPr>
          </w:p>
        </w:tc>
      </w:tr>
      <w:tr w:rsidR="007E0F25" w:rsidRPr="006E3AF2" w14:paraId="20D2CCB0" w14:textId="77777777" w:rsidTr="008F3747">
        <w:tc>
          <w:tcPr>
            <w:tcW w:w="3100" w:type="dxa"/>
            <w:noWrap/>
            <w:vAlign w:val="center"/>
          </w:tcPr>
          <w:p w14:paraId="2BEDE556" w14:textId="1EE9D486" w:rsidR="007E0F25" w:rsidRDefault="007E0F25" w:rsidP="007E0F25">
            <w:pPr>
              <w:spacing w:line="240" w:lineRule="auto"/>
            </w:pPr>
            <w:r>
              <w:t>C.8 Is it possible that the program will be more than 50% online (includes hybrid)?*</w:t>
            </w:r>
          </w:p>
        </w:tc>
        <w:tc>
          <w:tcPr>
            <w:tcW w:w="2470" w:type="dxa"/>
            <w:noWrap/>
          </w:tcPr>
          <w:p w14:paraId="6083E444" w14:textId="27B02A19" w:rsidR="007E0F25" w:rsidRPr="009F029C" w:rsidRDefault="007E0F25" w:rsidP="007E0F25">
            <w:pPr>
              <w:spacing w:line="240" w:lineRule="auto"/>
              <w:rPr>
                <w:b/>
              </w:rPr>
            </w:pPr>
          </w:p>
        </w:tc>
        <w:tc>
          <w:tcPr>
            <w:tcW w:w="5210" w:type="dxa"/>
            <w:noWrap/>
          </w:tcPr>
          <w:p w14:paraId="3ED8DE3E" w14:textId="14A63C80" w:rsidR="007E0F25" w:rsidRPr="009F029C" w:rsidRDefault="007E0F25" w:rsidP="007E0F25">
            <w:pPr>
              <w:spacing w:line="240" w:lineRule="auto"/>
              <w:rPr>
                <w:b/>
              </w:rPr>
            </w:pPr>
            <w:proofErr w:type="gramStart"/>
            <w:r>
              <w:rPr>
                <w:b/>
              </w:rPr>
              <w:t>YES</w:t>
            </w:r>
            <w:r w:rsidR="0054518D">
              <w:rPr>
                <w:b/>
              </w:rPr>
              <w:t>;</w:t>
            </w:r>
            <w:proofErr w:type="gramEnd"/>
            <w:r w:rsidR="0054518D">
              <w:rPr>
                <w:b/>
              </w:rPr>
              <w:t xml:space="preserve"> this will be taught fully online</w:t>
            </w:r>
          </w:p>
        </w:tc>
      </w:tr>
      <w:tr w:rsidR="007E0F25" w:rsidRPr="006E3AF2" w14:paraId="63BE75DC" w14:textId="77777777" w:rsidTr="008F3747">
        <w:tc>
          <w:tcPr>
            <w:tcW w:w="3100" w:type="dxa"/>
            <w:noWrap/>
            <w:vAlign w:val="center"/>
          </w:tcPr>
          <w:p w14:paraId="268A51B9" w14:textId="4A657F70" w:rsidR="007E0F25" w:rsidRDefault="007E0F25" w:rsidP="007E0F25">
            <w:pPr>
              <w:spacing w:line="240" w:lineRule="auto"/>
            </w:pPr>
            <w:r>
              <w:t xml:space="preserve">C.9 Will any classes be offered at sites other than RIC campus or the RI Nursing Ed. </w:t>
            </w:r>
            <w:proofErr w:type="gramStart"/>
            <w:r>
              <w:t>Center?*</w:t>
            </w:r>
            <w:proofErr w:type="gramEnd"/>
          </w:p>
        </w:tc>
        <w:tc>
          <w:tcPr>
            <w:tcW w:w="2470" w:type="dxa"/>
            <w:noWrap/>
          </w:tcPr>
          <w:p w14:paraId="236DE90C" w14:textId="2C4BD7B3" w:rsidR="007E0F25" w:rsidRPr="009F029C" w:rsidRDefault="007E0F25" w:rsidP="007E0F25">
            <w:pPr>
              <w:spacing w:line="240" w:lineRule="auto"/>
              <w:rPr>
                <w:b/>
              </w:rPr>
            </w:pPr>
          </w:p>
        </w:tc>
        <w:tc>
          <w:tcPr>
            <w:tcW w:w="5210" w:type="dxa"/>
            <w:noWrap/>
          </w:tcPr>
          <w:p w14:paraId="4A9225BC" w14:textId="3316B004" w:rsidR="007E0F25" w:rsidRPr="009F029C" w:rsidRDefault="007E0F25" w:rsidP="007E0F25">
            <w:pPr>
              <w:spacing w:line="240" w:lineRule="auto"/>
              <w:rPr>
                <w:b/>
              </w:rPr>
            </w:pPr>
            <w:r>
              <w:rPr>
                <w:b/>
              </w:rPr>
              <w:t xml:space="preserve"> NO</w:t>
            </w:r>
          </w:p>
        </w:tc>
      </w:tr>
      <w:tr w:rsidR="007E0F25" w:rsidRPr="006E3AF2" w14:paraId="0F4516EB" w14:textId="77777777" w:rsidTr="008F3747">
        <w:tc>
          <w:tcPr>
            <w:tcW w:w="3100" w:type="dxa"/>
            <w:noWrap/>
            <w:vAlign w:val="center"/>
          </w:tcPr>
          <w:p w14:paraId="5FFE67FA" w14:textId="01E5E8E5" w:rsidR="007E0F25" w:rsidRDefault="007E0F25" w:rsidP="007E0F25">
            <w:pPr>
              <w:spacing w:line="240" w:lineRule="auto"/>
            </w:pPr>
            <w:r>
              <w:t xml:space="preserve">C. 10. Do these revisions reflect more than 25% change to the </w:t>
            </w:r>
            <w:hyperlink r:id="rId16" w:tooltip="NECHE needs to receive the substantive change proposal at least six months prior to our first offering the program." w:history="1">
              <w:r>
                <w:rPr>
                  <w:rStyle w:val="Hyperlink"/>
                </w:rPr>
                <w:t xml:space="preserve">program?* </w:t>
              </w:r>
            </w:hyperlink>
          </w:p>
        </w:tc>
        <w:tc>
          <w:tcPr>
            <w:tcW w:w="2470" w:type="dxa"/>
            <w:noWrap/>
          </w:tcPr>
          <w:p w14:paraId="3DE7C5B3" w14:textId="749EC6F7" w:rsidR="007E0F25" w:rsidRDefault="007E0F25" w:rsidP="007E0F25">
            <w:pPr>
              <w:spacing w:line="240" w:lineRule="auto"/>
              <w:rPr>
                <w:b/>
              </w:rPr>
            </w:pPr>
          </w:p>
        </w:tc>
        <w:tc>
          <w:tcPr>
            <w:tcW w:w="5210" w:type="dxa"/>
            <w:noWrap/>
          </w:tcPr>
          <w:p w14:paraId="7F9842BC" w14:textId="2B97E7C6" w:rsidR="007E0F25" w:rsidRDefault="007E0F25" w:rsidP="007E0F25">
            <w:pPr>
              <w:spacing w:line="240" w:lineRule="auto"/>
              <w:rPr>
                <w:b/>
              </w:rPr>
            </w:pPr>
            <w:r>
              <w:rPr>
                <w:b/>
              </w:rPr>
              <w:t>NO</w:t>
            </w:r>
          </w:p>
        </w:tc>
      </w:tr>
      <w:tr w:rsidR="007E0F25" w:rsidRPr="006E3AF2" w14:paraId="68C8592C" w14:textId="77777777" w:rsidTr="008F3747">
        <w:tc>
          <w:tcPr>
            <w:tcW w:w="3100" w:type="dxa"/>
            <w:noWrap/>
            <w:vAlign w:val="center"/>
          </w:tcPr>
          <w:p w14:paraId="20B54EE3" w14:textId="479F522F" w:rsidR="007E0F25" w:rsidRDefault="007E0F25" w:rsidP="007E0F25">
            <w:pPr>
              <w:spacing w:line="240" w:lineRule="auto"/>
            </w:pPr>
            <w:r>
              <w:t xml:space="preserve">C.11.  </w:t>
            </w:r>
            <w:hyperlink r:id="rId17"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7E0F25" w:rsidRDefault="007E0F25" w:rsidP="007E0F25">
            <w:pPr>
              <w:spacing w:line="240" w:lineRule="auto"/>
            </w:pPr>
            <w:r>
              <w:t>Needed for all new programs</w:t>
            </w:r>
          </w:p>
        </w:tc>
        <w:tc>
          <w:tcPr>
            <w:tcW w:w="2470" w:type="dxa"/>
            <w:noWrap/>
          </w:tcPr>
          <w:p w14:paraId="75BC195D" w14:textId="77777777" w:rsidR="007E0F25" w:rsidRPr="009F029C" w:rsidRDefault="007E0F25" w:rsidP="007E0F25">
            <w:pPr>
              <w:spacing w:line="240" w:lineRule="auto"/>
              <w:rPr>
                <w:b/>
              </w:rPr>
            </w:pPr>
          </w:p>
        </w:tc>
        <w:tc>
          <w:tcPr>
            <w:tcW w:w="5210" w:type="dxa"/>
            <w:noWrap/>
          </w:tcPr>
          <w:p w14:paraId="6423905D" w14:textId="6116D0A6" w:rsidR="007E0F25" w:rsidRPr="000A7223" w:rsidRDefault="007E0F25" w:rsidP="007E0F25">
            <w:pPr>
              <w:spacing w:line="240" w:lineRule="auto"/>
              <w:rPr>
                <w:b/>
              </w:rPr>
            </w:pPr>
            <w:r>
              <w:rPr>
                <w:b/>
              </w:rPr>
              <w:t xml:space="preserve">There are 5 goals to the Strategic Communication program </w:t>
            </w:r>
            <w:r w:rsidR="002C6BC4">
              <w:rPr>
                <w:b/>
              </w:rPr>
              <w:t>concentration</w:t>
            </w:r>
            <w:r>
              <w:rPr>
                <w:b/>
              </w:rPr>
              <w:t>.</w:t>
            </w:r>
          </w:p>
          <w:p w14:paraId="5BE79C44" w14:textId="7B436917" w:rsidR="007E0F25" w:rsidRDefault="007E0F25" w:rsidP="007E0F25">
            <w:pPr>
              <w:pStyle w:val="ListParagraph"/>
              <w:numPr>
                <w:ilvl w:val="0"/>
                <w:numId w:val="16"/>
              </w:numPr>
              <w:spacing w:line="240" w:lineRule="auto"/>
              <w:rPr>
                <w:b/>
              </w:rPr>
            </w:pPr>
            <w:r>
              <w:rPr>
                <w:b/>
              </w:rPr>
              <w:t>Ability to communicate strongly verbally</w:t>
            </w:r>
          </w:p>
          <w:p w14:paraId="361E005E" w14:textId="77777777" w:rsidR="007E0F25" w:rsidRDefault="007E0F25" w:rsidP="007E0F25">
            <w:pPr>
              <w:pStyle w:val="ListParagraph"/>
              <w:numPr>
                <w:ilvl w:val="0"/>
                <w:numId w:val="16"/>
              </w:numPr>
              <w:spacing w:line="240" w:lineRule="auto"/>
              <w:rPr>
                <w:b/>
              </w:rPr>
            </w:pPr>
            <w:r>
              <w:rPr>
                <w:b/>
              </w:rPr>
              <w:t>Ability to communicate strongly in writing</w:t>
            </w:r>
          </w:p>
          <w:p w14:paraId="6AE6A82E" w14:textId="77777777" w:rsidR="007E0F25" w:rsidRDefault="007E0F25" w:rsidP="007E0F25">
            <w:pPr>
              <w:pStyle w:val="ListParagraph"/>
              <w:numPr>
                <w:ilvl w:val="0"/>
                <w:numId w:val="16"/>
              </w:numPr>
              <w:spacing w:line="240" w:lineRule="auto"/>
              <w:rPr>
                <w:b/>
              </w:rPr>
            </w:pPr>
            <w:r>
              <w:rPr>
                <w:b/>
              </w:rPr>
              <w:t>Ability to communicate strongly visually.</w:t>
            </w:r>
          </w:p>
          <w:p w14:paraId="10C89151" w14:textId="77777777" w:rsidR="007E0F25" w:rsidRDefault="007E0F25" w:rsidP="007E0F25">
            <w:pPr>
              <w:pStyle w:val="ListParagraph"/>
              <w:numPr>
                <w:ilvl w:val="0"/>
                <w:numId w:val="16"/>
              </w:numPr>
              <w:spacing w:line="240" w:lineRule="auto"/>
              <w:rPr>
                <w:b/>
              </w:rPr>
            </w:pPr>
            <w:r>
              <w:rPr>
                <w:b/>
              </w:rPr>
              <w:t>Understanding of professional ethics</w:t>
            </w:r>
          </w:p>
          <w:p w14:paraId="4147DF0B" w14:textId="77777777" w:rsidR="007E0F25" w:rsidRDefault="007E0F25" w:rsidP="007E0F25">
            <w:pPr>
              <w:pStyle w:val="ListParagraph"/>
              <w:numPr>
                <w:ilvl w:val="0"/>
                <w:numId w:val="16"/>
              </w:numPr>
              <w:spacing w:line="240" w:lineRule="auto"/>
              <w:rPr>
                <w:b/>
              </w:rPr>
            </w:pPr>
            <w:r>
              <w:rPr>
                <w:b/>
              </w:rPr>
              <w:t>Ability to conduct and evaluate research appropriate to the field.</w:t>
            </w:r>
          </w:p>
          <w:p w14:paraId="54957775" w14:textId="77777777" w:rsidR="007E0F25" w:rsidRDefault="007E0F25" w:rsidP="007E0F25">
            <w:pPr>
              <w:spacing w:line="240" w:lineRule="auto"/>
              <w:ind w:left="360"/>
              <w:rPr>
                <w:b/>
              </w:rPr>
            </w:pPr>
          </w:p>
          <w:p w14:paraId="4DBB33DF" w14:textId="77777777" w:rsidR="007E0F25" w:rsidRDefault="007E0F25" w:rsidP="007E0F25">
            <w:pPr>
              <w:spacing w:line="240" w:lineRule="auto"/>
              <w:ind w:left="360"/>
              <w:rPr>
                <w:b/>
              </w:rPr>
            </w:pPr>
            <w:r>
              <w:rPr>
                <w:b/>
              </w:rPr>
              <w:t>Students will be evaluated through presentation, essays and other writing activities, applied discussion, applied ethical situations, quizzes, tests, group projects, and experiential learning assignments.</w:t>
            </w:r>
          </w:p>
          <w:p w14:paraId="22B91BBD" w14:textId="77777777" w:rsidR="007E0F25" w:rsidRDefault="007E0F25" w:rsidP="007E0F25">
            <w:pPr>
              <w:spacing w:line="240" w:lineRule="auto"/>
              <w:ind w:left="360"/>
              <w:rPr>
                <w:b/>
              </w:rPr>
            </w:pPr>
          </w:p>
          <w:p w14:paraId="4C25FF84" w14:textId="2430FF79" w:rsidR="007E0F25" w:rsidRPr="009B317A" w:rsidRDefault="007E0F25" w:rsidP="007E0F25">
            <w:pPr>
              <w:spacing w:line="240" w:lineRule="auto"/>
              <w:ind w:left="360"/>
              <w:rPr>
                <w:b/>
              </w:rPr>
            </w:pPr>
            <w:r>
              <w:rPr>
                <w:b/>
              </w:rPr>
              <w:t>Career paths and outlooks are listed in section A.4.</w:t>
            </w:r>
          </w:p>
        </w:tc>
      </w:tr>
      <w:tr w:rsidR="007E0F25" w:rsidRPr="006E3AF2" w14:paraId="7DF5BEDD" w14:textId="77777777" w:rsidTr="008F3747">
        <w:tc>
          <w:tcPr>
            <w:tcW w:w="3100" w:type="dxa"/>
            <w:noWrap/>
            <w:vAlign w:val="center"/>
          </w:tcPr>
          <w:p w14:paraId="6F4C1EEB" w14:textId="1E74945A" w:rsidR="007E0F25" w:rsidRDefault="007E0F25" w:rsidP="007E0F25">
            <w:pPr>
              <w:spacing w:line="240" w:lineRule="auto"/>
            </w:pPr>
            <w:r>
              <w:t>C.12.  Other changes if any</w:t>
            </w:r>
          </w:p>
        </w:tc>
        <w:tc>
          <w:tcPr>
            <w:tcW w:w="2470" w:type="dxa"/>
            <w:noWrap/>
          </w:tcPr>
          <w:p w14:paraId="564B030C" w14:textId="77777777" w:rsidR="007E0F25" w:rsidRPr="009F029C" w:rsidRDefault="007E0F25" w:rsidP="007E0F25">
            <w:pPr>
              <w:spacing w:line="240" w:lineRule="auto"/>
              <w:rPr>
                <w:b/>
              </w:rPr>
            </w:pPr>
          </w:p>
        </w:tc>
        <w:tc>
          <w:tcPr>
            <w:tcW w:w="5210" w:type="dxa"/>
            <w:noWrap/>
          </w:tcPr>
          <w:p w14:paraId="16C0CFEF" w14:textId="6B558ECB" w:rsidR="007E0F25" w:rsidRPr="009F029C" w:rsidRDefault="008F3747" w:rsidP="007E0F25">
            <w:pPr>
              <w:spacing w:line="240" w:lineRule="auto"/>
              <w:rPr>
                <w:b/>
              </w:rPr>
            </w:pPr>
            <w:r>
              <w:rPr>
                <w:b/>
              </w:rPr>
              <w:t>There have been some additional editorial updates to the BPS section of the catalog to accommodate the additional concentration, and clarify some of the politicies.</w:t>
            </w: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98"/>
        <w:gridCol w:w="2961"/>
        <w:gridCol w:w="4536"/>
        <w:gridCol w:w="1285"/>
      </w:tblGrid>
      <w:tr w:rsidR="00BD6230" w:rsidRPr="00402602" w14:paraId="6D3FA1B8" w14:textId="77777777" w:rsidTr="003602C7">
        <w:trPr>
          <w:cantSplit/>
          <w:tblHeader/>
        </w:trPr>
        <w:tc>
          <w:tcPr>
            <w:tcW w:w="3279" w:type="dxa"/>
            <w:vAlign w:val="center"/>
          </w:tcPr>
          <w:p w14:paraId="51DA3145" w14:textId="77777777" w:rsidR="00BD6230" w:rsidRPr="00A83A6C" w:rsidRDefault="00BD6230" w:rsidP="003602C7">
            <w:pPr>
              <w:pStyle w:val="Heading5"/>
              <w:jc w:val="center"/>
            </w:pPr>
            <w:r w:rsidRPr="00A83A6C">
              <w:t>Name</w:t>
            </w:r>
          </w:p>
        </w:tc>
        <w:tc>
          <w:tcPr>
            <w:tcW w:w="3279" w:type="dxa"/>
            <w:vAlign w:val="center"/>
          </w:tcPr>
          <w:p w14:paraId="3AA0F836" w14:textId="77777777" w:rsidR="00BD6230" w:rsidRPr="00A83A6C" w:rsidRDefault="00BD6230" w:rsidP="003602C7">
            <w:pPr>
              <w:pStyle w:val="Heading5"/>
              <w:jc w:val="center"/>
            </w:pPr>
            <w:r w:rsidRPr="00A83A6C">
              <w:t>Position/affiliation</w:t>
            </w:r>
          </w:p>
        </w:tc>
        <w:bookmarkStart w:id="20" w:name="_Signature"/>
        <w:bookmarkEnd w:id="20"/>
        <w:tc>
          <w:tcPr>
            <w:tcW w:w="3280" w:type="dxa"/>
            <w:vAlign w:val="center"/>
          </w:tcPr>
          <w:p w14:paraId="4C5F08C8" w14:textId="77777777" w:rsidR="00BD6230" w:rsidRPr="00A83A6C" w:rsidRDefault="00BD6230" w:rsidP="003602C7">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74E0C056" w14:textId="77777777" w:rsidR="00BD6230" w:rsidRPr="00A83A6C" w:rsidRDefault="00BD6230" w:rsidP="003602C7">
            <w:pPr>
              <w:pStyle w:val="Heading5"/>
              <w:jc w:val="center"/>
            </w:pPr>
            <w:r w:rsidRPr="00A83A6C">
              <w:t>Date</w:t>
            </w:r>
          </w:p>
        </w:tc>
      </w:tr>
      <w:tr w:rsidR="00BD6230" w14:paraId="48E64AF9" w14:textId="77777777" w:rsidTr="003602C7">
        <w:trPr>
          <w:cantSplit/>
          <w:trHeight w:val="489"/>
        </w:trPr>
        <w:tc>
          <w:tcPr>
            <w:tcW w:w="3279" w:type="dxa"/>
            <w:vAlign w:val="center"/>
          </w:tcPr>
          <w:p w14:paraId="3D2C0110" w14:textId="77777777" w:rsidR="00BD6230" w:rsidRDefault="00BD6230" w:rsidP="003602C7">
            <w:pPr>
              <w:spacing w:line="240" w:lineRule="auto"/>
            </w:pPr>
            <w:r>
              <w:t xml:space="preserve">Holly </w:t>
            </w:r>
            <w:proofErr w:type="spellStart"/>
            <w:r>
              <w:t>Shadoian</w:t>
            </w:r>
            <w:proofErr w:type="spellEnd"/>
          </w:p>
        </w:tc>
        <w:tc>
          <w:tcPr>
            <w:tcW w:w="3279" w:type="dxa"/>
            <w:vAlign w:val="center"/>
          </w:tcPr>
          <w:p w14:paraId="5C3187F8" w14:textId="77777777" w:rsidR="00BD6230" w:rsidRDefault="00BD6230" w:rsidP="003602C7">
            <w:pPr>
              <w:spacing w:line="240" w:lineRule="auto"/>
            </w:pPr>
            <w:r>
              <w:t>Vice Provost of Undergraduate Affairs/Program Director of BPS</w:t>
            </w:r>
          </w:p>
        </w:tc>
        <w:tc>
          <w:tcPr>
            <w:tcW w:w="3280" w:type="dxa"/>
            <w:vAlign w:val="center"/>
          </w:tcPr>
          <w:p w14:paraId="733A2808" w14:textId="77777777" w:rsidR="00BD6230" w:rsidRDefault="00BD6230" w:rsidP="003602C7">
            <w:pPr>
              <w:spacing w:line="240" w:lineRule="auto"/>
            </w:pPr>
            <w:r>
              <w:rPr>
                <w:noProof/>
              </w:rPr>
              <w:drawing>
                <wp:inline distT="0" distB="0" distL="0" distR="0" wp14:anchorId="3854EF88" wp14:editId="2D7603AF">
                  <wp:extent cx="2743200" cy="6072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2743200" cy="607273"/>
                          </a:xfrm>
                          <a:prstGeom prst="rect">
                            <a:avLst/>
                          </a:prstGeom>
                        </pic:spPr>
                      </pic:pic>
                    </a:graphicData>
                  </a:graphic>
                </wp:inline>
              </w:drawing>
            </w:r>
          </w:p>
        </w:tc>
        <w:tc>
          <w:tcPr>
            <w:tcW w:w="1178" w:type="dxa"/>
            <w:vAlign w:val="center"/>
          </w:tcPr>
          <w:p w14:paraId="191EAD2D" w14:textId="77777777" w:rsidR="00BD6230" w:rsidRDefault="00BD6230" w:rsidP="003602C7">
            <w:pPr>
              <w:spacing w:line="240" w:lineRule="auto"/>
            </w:pPr>
            <w:r>
              <w:t>3/6/2023</w:t>
            </w:r>
          </w:p>
        </w:tc>
      </w:tr>
      <w:tr w:rsidR="00BD6230" w14:paraId="78B8B427" w14:textId="77777777" w:rsidTr="003602C7">
        <w:trPr>
          <w:cantSplit/>
          <w:trHeight w:val="489"/>
        </w:trPr>
        <w:tc>
          <w:tcPr>
            <w:tcW w:w="3279" w:type="dxa"/>
            <w:vAlign w:val="center"/>
          </w:tcPr>
          <w:p w14:paraId="45D71211" w14:textId="77777777" w:rsidR="00BD6230" w:rsidRDefault="00BD6230" w:rsidP="003602C7">
            <w:pPr>
              <w:spacing w:line="240" w:lineRule="auto"/>
            </w:pPr>
            <w:r>
              <w:t>Giselle Auger</w:t>
            </w:r>
          </w:p>
        </w:tc>
        <w:tc>
          <w:tcPr>
            <w:tcW w:w="3279" w:type="dxa"/>
            <w:vAlign w:val="center"/>
          </w:tcPr>
          <w:p w14:paraId="66DCE752" w14:textId="77777777" w:rsidR="00BD6230" w:rsidRDefault="00BD6230" w:rsidP="003602C7">
            <w:pPr>
              <w:spacing w:line="240" w:lineRule="auto"/>
            </w:pPr>
            <w:r>
              <w:t>Chair of Communication</w:t>
            </w:r>
          </w:p>
        </w:tc>
        <w:tc>
          <w:tcPr>
            <w:tcW w:w="3280" w:type="dxa"/>
            <w:vAlign w:val="center"/>
          </w:tcPr>
          <w:p w14:paraId="43A32A20" w14:textId="77777777" w:rsidR="00BD6230" w:rsidRDefault="00BD6230" w:rsidP="003602C7">
            <w:pPr>
              <w:spacing w:line="240" w:lineRule="auto"/>
            </w:pPr>
            <w:r>
              <w:t>Giselle A. Auger</w:t>
            </w:r>
          </w:p>
        </w:tc>
        <w:tc>
          <w:tcPr>
            <w:tcW w:w="1178" w:type="dxa"/>
            <w:vAlign w:val="center"/>
          </w:tcPr>
          <w:p w14:paraId="6593F8B2" w14:textId="77777777" w:rsidR="00BD6230" w:rsidRDefault="00BD6230" w:rsidP="003602C7">
            <w:pPr>
              <w:spacing w:line="240" w:lineRule="auto"/>
            </w:pPr>
            <w:r>
              <w:t>2/21/2023</w:t>
            </w:r>
          </w:p>
        </w:tc>
      </w:tr>
      <w:tr w:rsidR="00BD6230" w14:paraId="70194698" w14:textId="77777777" w:rsidTr="003602C7">
        <w:trPr>
          <w:cantSplit/>
          <w:trHeight w:val="489"/>
        </w:trPr>
        <w:tc>
          <w:tcPr>
            <w:tcW w:w="3279" w:type="dxa"/>
            <w:vAlign w:val="center"/>
          </w:tcPr>
          <w:p w14:paraId="60E44729" w14:textId="77777777" w:rsidR="00BD6230" w:rsidRDefault="00BD6230" w:rsidP="003602C7">
            <w:pPr>
              <w:spacing w:line="240" w:lineRule="auto"/>
            </w:pPr>
            <w:r>
              <w:t>Earl Simson</w:t>
            </w:r>
          </w:p>
        </w:tc>
        <w:tc>
          <w:tcPr>
            <w:tcW w:w="3279" w:type="dxa"/>
            <w:vAlign w:val="center"/>
          </w:tcPr>
          <w:p w14:paraId="308AC7A3" w14:textId="77777777" w:rsidR="00BD6230" w:rsidRDefault="00BD6230" w:rsidP="003602C7">
            <w:pPr>
              <w:spacing w:line="240" w:lineRule="auto"/>
            </w:pPr>
            <w:r>
              <w:t>Dean of Faculty of Arts &amp; Sciences</w:t>
            </w:r>
          </w:p>
        </w:tc>
        <w:tc>
          <w:tcPr>
            <w:tcW w:w="3280" w:type="dxa"/>
            <w:vAlign w:val="center"/>
          </w:tcPr>
          <w:p w14:paraId="57198697" w14:textId="77777777" w:rsidR="00BD6230" w:rsidRDefault="00BD6230" w:rsidP="003602C7">
            <w:pPr>
              <w:spacing w:line="240" w:lineRule="auto"/>
            </w:pPr>
            <w:r>
              <w:rPr>
                <w:rFonts w:ascii="Brush Script MT" w:hAnsi="Brush Script MT"/>
                <w:sz w:val="28"/>
              </w:rPr>
              <w:t>Earl Simson</w:t>
            </w:r>
          </w:p>
        </w:tc>
        <w:tc>
          <w:tcPr>
            <w:tcW w:w="1178" w:type="dxa"/>
            <w:vAlign w:val="center"/>
          </w:tcPr>
          <w:p w14:paraId="094D288C" w14:textId="77777777" w:rsidR="00BD6230" w:rsidRDefault="00BD6230" w:rsidP="003602C7">
            <w:pPr>
              <w:spacing w:line="240" w:lineRule="auto"/>
            </w:pPr>
            <w:r>
              <w:t>3/6/2023</w:t>
            </w:r>
          </w:p>
        </w:tc>
      </w:tr>
      <w:tr w:rsidR="00BD6230" w14:paraId="4F097186" w14:textId="77777777" w:rsidTr="003602C7">
        <w:trPr>
          <w:cantSplit/>
          <w:trHeight w:val="489"/>
        </w:trPr>
        <w:tc>
          <w:tcPr>
            <w:tcW w:w="3279" w:type="dxa"/>
            <w:vAlign w:val="center"/>
          </w:tcPr>
          <w:p w14:paraId="14B616DA" w14:textId="77777777" w:rsidR="00BD6230" w:rsidRDefault="00BD6230" w:rsidP="003602C7">
            <w:pPr>
              <w:spacing w:line="240" w:lineRule="auto"/>
            </w:pPr>
            <w:r>
              <w:t>Jen Giroux</w:t>
            </w:r>
          </w:p>
        </w:tc>
        <w:tc>
          <w:tcPr>
            <w:tcW w:w="3279" w:type="dxa"/>
            <w:vAlign w:val="center"/>
          </w:tcPr>
          <w:p w14:paraId="289776BF" w14:textId="77777777" w:rsidR="00BD6230" w:rsidRDefault="00BD6230" w:rsidP="003602C7">
            <w:pPr>
              <w:spacing w:line="240" w:lineRule="auto"/>
            </w:pPr>
            <w:r w:rsidRPr="0092134C">
              <w:rPr>
                <w:rStyle w:val="Strong"/>
                <w:b w:val="0"/>
                <w:bCs/>
                <w:color w:val="000000" w:themeColor="text1"/>
              </w:rPr>
              <w:t>Associate Vice President of Professional Studies and Continuing Education</w:t>
            </w:r>
          </w:p>
        </w:tc>
        <w:tc>
          <w:tcPr>
            <w:tcW w:w="3280" w:type="dxa"/>
            <w:vAlign w:val="center"/>
          </w:tcPr>
          <w:p w14:paraId="55B35726" w14:textId="77777777" w:rsidR="00BD6230" w:rsidRDefault="00BD6230" w:rsidP="003602C7">
            <w:pPr>
              <w:spacing w:line="240" w:lineRule="auto"/>
            </w:pPr>
            <w:r>
              <w:t>*</w:t>
            </w:r>
            <w:proofErr w:type="gramStart"/>
            <w:r>
              <w:t>approved</w:t>
            </w:r>
            <w:proofErr w:type="gramEnd"/>
            <w:r>
              <w:t xml:space="preserve"> by email</w:t>
            </w:r>
          </w:p>
        </w:tc>
        <w:tc>
          <w:tcPr>
            <w:tcW w:w="1178" w:type="dxa"/>
            <w:vAlign w:val="center"/>
          </w:tcPr>
          <w:p w14:paraId="5C233DDF" w14:textId="77777777" w:rsidR="00BD6230" w:rsidRDefault="00BD6230" w:rsidP="003602C7">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1" w:name="acknowledge"/>
        <w:bookmarkEnd w:id="2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p w14:paraId="329B6D81" w14:textId="77777777" w:rsidR="00F64260" w:rsidRPr="001A37FB" w:rsidRDefault="00F64260" w:rsidP="001A37FB"/>
    <w:sectPr w:rsidR="00F64260" w:rsidRPr="001A37FB" w:rsidSect="00CD18DD">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B995" w14:textId="77777777" w:rsidR="00DE3E54" w:rsidRDefault="00DE3E54" w:rsidP="00FA78CA">
      <w:pPr>
        <w:spacing w:line="240" w:lineRule="auto"/>
      </w:pPr>
      <w:r>
        <w:separator/>
      </w:r>
    </w:p>
  </w:endnote>
  <w:endnote w:type="continuationSeparator" w:id="0">
    <w:p w14:paraId="474B3CBC" w14:textId="77777777" w:rsidR="00DE3E54" w:rsidRDefault="00DE3E5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23A8" w14:textId="77777777" w:rsidR="00DE3E54" w:rsidRDefault="00DE3E54" w:rsidP="00FA78CA">
      <w:pPr>
        <w:spacing w:line="240" w:lineRule="auto"/>
      </w:pPr>
      <w:r>
        <w:separator/>
      </w:r>
    </w:p>
  </w:footnote>
  <w:footnote w:type="continuationSeparator" w:id="0">
    <w:p w14:paraId="53A954D1" w14:textId="77777777" w:rsidR="00DE3E54" w:rsidRDefault="00DE3E5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B12E00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71D00">
      <w:rPr>
        <w:color w:val="4F6228"/>
      </w:rPr>
      <w:t>22-23-065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71D00">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C9A"/>
    <w:multiLevelType w:val="hybridMultilevel"/>
    <w:tmpl w:val="51B6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5" w15:restartNumberingAfterBreak="0">
    <w:nsid w:val="7F941934"/>
    <w:multiLevelType w:val="hybridMultilevel"/>
    <w:tmpl w:val="7FF2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59896">
    <w:abstractNumId w:val="12"/>
  </w:num>
  <w:num w:numId="2" w16cid:durableId="431317505">
    <w:abstractNumId w:val="4"/>
  </w:num>
  <w:num w:numId="3" w16cid:durableId="2016028249">
    <w:abstractNumId w:val="10"/>
  </w:num>
  <w:num w:numId="4" w16cid:durableId="1871336625">
    <w:abstractNumId w:val="2"/>
  </w:num>
  <w:num w:numId="5" w16cid:durableId="1905680294">
    <w:abstractNumId w:val="6"/>
  </w:num>
  <w:num w:numId="6" w16cid:durableId="2139058182">
    <w:abstractNumId w:val="13"/>
  </w:num>
  <w:num w:numId="7" w16cid:durableId="1569028441">
    <w:abstractNumId w:val="3"/>
  </w:num>
  <w:num w:numId="8" w16cid:durableId="1709991317">
    <w:abstractNumId w:val="9"/>
  </w:num>
  <w:num w:numId="9" w16cid:durableId="1671829821">
    <w:abstractNumId w:val="11"/>
  </w:num>
  <w:num w:numId="10" w16cid:durableId="1096292697">
    <w:abstractNumId w:val="5"/>
  </w:num>
  <w:num w:numId="11" w16cid:durableId="1103527036">
    <w:abstractNumId w:val="14"/>
  </w:num>
  <w:num w:numId="12" w16cid:durableId="1652707942">
    <w:abstractNumId w:val="8"/>
  </w:num>
  <w:num w:numId="13" w16cid:durableId="1723282979">
    <w:abstractNumId w:val="1"/>
  </w:num>
  <w:num w:numId="14" w16cid:durableId="1582718591">
    <w:abstractNumId w:val="7"/>
  </w:num>
  <w:num w:numId="15" w16cid:durableId="713622151">
    <w:abstractNumId w:val="0"/>
  </w:num>
  <w:num w:numId="16" w16cid:durableId="436994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026"/>
    <w:rsid w:val="00005535"/>
    <w:rsid w:val="00010085"/>
    <w:rsid w:val="00011B88"/>
    <w:rsid w:val="00013152"/>
    <w:rsid w:val="0002048B"/>
    <w:rsid w:val="00027199"/>
    <w:rsid w:val="000301C7"/>
    <w:rsid w:val="00032D5C"/>
    <w:rsid w:val="00033392"/>
    <w:rsid w:val="0004554C"/>
    <w:rsid w:val="00046F55"/>
    <w:rsid w:val="000556B3"/>
    <w:rsid w:val="0005769F"/>
    <w:rsid w:val="00061F89"/>
    <w:rsid w:val="000637CF"/>
    <w:rsid w:val="000801BC"/>
    <w:rsid w:val="000810FF"/>
    <w:rsid w:val="000A36CD"/>
    <w:rsid w:val="000A577C"/>
    <w:rsid w:val="000A7223"/>
    <w:rsid w:val="000D1497"/>
    <w:rsid w:val="000D21F2"/>
    <w:rsid w:val="000E2785"/>
    <w:rsid w:val="000E2CBA"/>
    <w:rsid w:val="000F4A33"/>
    <w:rsid w:val="001010FA"/>
    <w:rsid w:val="00101BA4"/>
    <w:rsid w:val="0010291E"/>
    <w:rsid w:val="00103452"/>
    <w:rsid w:val="00115A68"/>
    <w:rsid w:val="0011690A"/>
    <w:rsid w:val="00120C12"/>
    <w:rsid w:val="001278A4"/>
    <w:rsid w:val="0013176C"/>
    <w:rsid w:val="00131B87"/>
    <w:rsid w:val="001429AA"/>
    <w:rsid w:val="00150923"/>
    <w:rsid w:val="001518DA"/>
    <w:rsid w:val="00155826"/>
    <w:rsid w:val="001561ED"/>
    <w:rsid w:val="001622D2"/>
    <w:rsid w:val="00175987"/>
    <w:rsid w:val="00175D3F"/>
    <w:rsid w:val="00176C55"/>
    <w:rsid w:val="00181A4B"/>
    <w:rsid w:val="00184A61"/>
    <w:rsid w:val="00191F3C"/>
    <w:rsid w:val="001A1D27"/>
    <w:rsid w:val="001A37FB"/>
    <w:rsid w:val="001A47C7"/>
    <w:rsid w:val="001A51ED"/>
    <w:rsid w:val="001A6CA7"/>
    <w:rsid w:val="001A7FF7"/>
    <w:rsid w:val="001B2E3A"/>
    <w:rsid w:val="001C3A09"/>
    <w:rsid w:val="001D6E18"/>
    <w:rsid w:val="0020058E"/>
    <w:rsid w:val="002350E9"/>
    <w:rsid w:val="00237355"/>
    <w:rsid w:val="00241866"/>
    <w:rsid w:val="0024389E"/>
    <w:rsid w:val="002574B3"/>
    <w:rsid w:val="002578DB"/>
    <w:rsid w:val="00263D78"/>
    <w:rsid w:val="0026461B"/>
    <w:rsid w:val="00266820"/>
    <w:rsid w:val="0027634D"/>
    <w:rsid w:val="00284473"/>
    <w:rsid w:val="00290E18"/>
    <w:rsid w:val="00292D43"/>
    <w:rsid w:val="00293639"/>
    <w:rsid w:val="00296BA1"/>
    <w:rsid w:val="0029768B"/>
    <w:rsid w:val="002A095E"/>
    <w:rsid w:val="002A3788"/>
    <w:rsid w:val="002B1FF7"/>
    <w:rsid w:val="002B21F9"/>
    <w:rsid w:val="002B24F6"/>
    <w:rsid w:val="002B7880"/>
    <w:rsid w:val="002C3D63"/>
    <w:rsid w:val="002C6BC4"/>
    <w:rsid w:val="002D0316"/>
    <w:rsid w:val="002D194C"/>
    <w:rsid w:val="002F36B8"/>
    <w:rsid w:val="00303189"/>
    <w:rsid w:val="00310D95"/>
    <w:rsid w:val="00312E89"/>
    <w:rsid w:val="003153C3"/>
    <w:rsid w:val="00321F0F"/>
    <w:rsid w:val="00343D03"/>
    <w:rsid w:val="00345149"/>
    <w:rsid w:val="00350470"/>
    <w:rsid w:val="00356F3E"/>
    <w:rsid w:val="003576C5"/>
    <w:rsid w:val="0037253D"/>
    <w:rsid w:val="00376A8B"/>
    <w:rsid w:val="003A45F6"/>
    <w:rsid w:val="003B4A52"/>
    <w:rsid w:val="003C1A54"/>
    <w:rsid w:val="003C511E"/>
    <w:rsid w:val="003D680F"/>
    <w:rsid w:val="003D7372"/>
    <w:rsid w:val="003E539A"/>
    <w:rsid w:val="003F099C"/>
    <w:rsid w:val="003F4E82"/>
    <w:rsid w:val="00402602"/>
    <w:rsid w:val="004105B6"/>
    <w:rsid w:val="004254A0"/>
    <w:rsid w:val="00426C3A"/>
    <w:rsid w:val="004313E6"/>
    <w:rsid w:val="004403BD"/>
    <w:rsid w:val="00442EEA"/>
    <w:rsid w:val="00454E79"/>
    <w:rsid w:val="0047350C"/>
    <w:rsid w:val="00476CBF"/>
    <w:rsid w:val="004779B4"/>
    <w:rsid w:val="00480FAA"/>
    <w:rsid w:val="00484256"/>
    <w:rsid w:val="004E57C5"/>
    <w:rsid w:val="004E79A5"/>
    <w:rsid w:val="00517DB2"/>
    <w:rsid w:val="00526851"/>
    <w:rsid w:val="005275F1"/>
    <w:rsid w:val="00541F11"/>
    <w:rsid w:val="0054518D"/>
    <w:rsid w:val="005473BC"/>
    <w:rsid w:val="00582B7F"/>
    <w:rsid w:val="005851AF"/>
    <w:rsid w:val="005873E3"/>
    <w:rsid w:val="00590188"/>
    <w:rsid w:val="0059448E"/>
    <w:rsid w:val="005B1049"/>
    <w:rsid w:val="005C23BD"/>
    <w:rsid w:val="005C3F83"/>
    <w:rsid w:val="005D389E"/>
    <w:rsid w:val="005E2D3D"/>
    <w:rsid w:val="005F04ED"/>
    <w:rsid w:val="005F2A05"/>
    <w:rsid w:val="005F7BBB"/>
    <w:rsid w:val="00601CAB"/>
    <w:rsid w:val="0061535B"/>
    <w:rsid w:val="00626FE5"/>
    <w:rsid w:val="006575EA"/>
    <w:rsid w:val="00670869"/>
    <w:rsid w:val="006750F6"/>
    <w:rsid w:val="006761E1"/>
    <w:rsid w:val="00683987"/>
    <w:rsid w:val="006970B0"/>
    <w:rsid w:val="006A5357"/>
    <w:rsid w:val="006B20A9"/>
    <w:rsid w:val="006E365C"/>
    <w:rsid w:val="006E3AF2"/>
    <w:rsid w:val="006E6680"/>
    <w:rsid w:val="006F5C52"/>
    <w:rsid w:val="006F7F90"/>
    <w:rsid w:val="00704CFF"/>
    <w:rsid w:val="00705819"/>
    <w:rsid w:val="00706745"/>
    <w:rsid w:val="007072F7"/>
    <w:rsid w:val="00714B57"/>
    <w:rsid w:val="00725EC1"/>
    <w:rsid w:val="0074235B"/>
    <w:rsid w:val="0074395D"/>
    <w:rsid w:val="00743AD2"/>
    <w:rsid w:val="007445F4"/>
    <w:rsid w:val="00744ECF"/>
    <w:rsid w:val="00753550"/>
    <w:rsid w:val="007554DE"/>
    <w:rsid w:val="00760EA6"/>
    <w:rsid w:val="00766256"/>
    <w:rsid w:val="00771D00"/>
    <w:rsid w:val="00776415"/>
    <w:rsid w:val="00795D54"/>
    <w:rsid w:val="00796AF7"/>
    <w:rsid w:val="007970C3"/>
    <w:rsid w:val="007A5702"/>
    <w:rsid w:val="007B10BE"/>
    <w:rsid w:val="007B34E1"/>
    <w:rsid w:val="007C041F"/>
    <w:rsid w:val="007D1AA7"/>
    <w:rsid w:val="007E0F25"/>
    <w:rsid w:val="007F32AF"/>
    <w:rsid w:val="007F4255"/>
    <w:rsid w:val="00805675"/>
    <w:rsid w:val="008122C6"/>
    <w:rsid w:val="00836281"/>
    <w:rsid w:val="00836627"/>
    <w:rsid w:val="00837253"/>
    <w:rsid w:val="00844ECB"/>
    <w:rsid w:val="0085229B"/>
    <w:rsid w:val="008555D8"/>
    <w:rsid w:val="008628B1"/>
    <w:rsid w:val="00865915"/>
    <w:rsid w:val="00872775"/>
    <w:rsid w:val="008745BA"/>
    <w:rsid w:val="00880392"/>
    <w:rsid w:val="008836DF"/>
    <w:rsid w:val="00883C55"/>
    <w:rsid w:val="008847FC"/>
    <w:rsid w:val="008847FE"/>
    <w:rsid w:val="0089234B"/>
    <w:rsid w:val="008927AF"/>
    <w:rsid w:val="0089400B"/>
    <w:rsid w:val="008B1F84"/>
    <w:rsid w:val="008D52B7"/>
    <w:rsid w:val="008E07D4"/>
    <w:rsid w:val="008E0FCD"/>
    <w:rsid w:val="008E3EFA"/>
    <w:rsid w:val="008F175C"/>
    <w:rsid w:val="008F3747"/>
    <w:rsid w:val="00903712"/>
    <w:rsid w:val="00905E67"/>
    <w:rsid w:val="00913143"/>
    <w:rsid w:val="00917FC6"/>
    <w:rsid w:val="00934884"/>
    <w:rsid w:val="00936421"/>
    <w:rsid w:val="00941342"/>
    <w:rsid w:val="0094142A"/>
    <w:rsid w:val="009458D2"/>
    <w:rsid w:val="00946B20"/>
    <w:rsid w:val="009477AB"/>
    <w:rsid w:val="00975D2F"/>
    <w:rsid w:val="0098046D"/>
    <w:rsid w:val="00984B36"/>
    <w:rsid w:val="009A4E6F"/>
    <w:rsid w:val="009A5600"/>
    <w:rsid w:val="009A58C1"/>
    <w:rsid w:val="009B317A"/>
    <w:rsid w:val="009B4B02"/>
    <w:rsid w:val="009C1440"/>
    <w:rsid w:val="009F029C"/>
    <w:rsid w:val="009F2F3E"/>
    <w:rsid w:val="009F6D67"/>
    <w:rsid w:val="009F77CC"/>
    <w:rsid w:val="00A01611"/>
    <w:rsid w:val="00A04A92"/>
    <w:rsid w:val="00A06E22"/>
    <w:rsid w:val="00A11DCD"/>
    <w:rsid w:val="00A32214"/>
    <w:rsid w:val="00A442D7"/>
    <w:rsid w:val="00A515BD"/>
    <w:rsid w:val="00A54783"/>
    <w:rsid w:val="00A5525B"/>
    <w:rsid w:val="00A56D5F"/>
    <w:rsid w:val="00A6264E"/>
    <w:rsid w:val="00A703CD"/>
    <w:rsid w:val="00A76B76"/>
    <w:rsid w:val="00A83A6C"/>
    <w:rsid w:val="00A85BAB"/>
    <w:rsid w:val="00A87611"/>
    <w:rsid w:val="00A9131B"/>
    <w:rsid w:val="00A94B5A"/>
    <w:rsid w:val="00A960DC"/>
    <w:rsid w:val="00AA5F73"/>
    <w:rsid w:val="00AC3032"/>
    <w:rsid w:val="00AC6590"/>
    <w:rsid w:val="00AC7094"/>
    <w:rsid w:val="00AD17F8"/>
    <w:rsid w:val="00AE5302"/>
    <w:rsid w:val="00AE552A"/>
    <w:rsid w:val="00AE78C2"/>
    <w:rsid w:val="00AE7A3D"/>
    <w:rsid w:val="00B12BAB"/>
    <w:rsid w:val="00B20954"/>
    <w:rsid w:val="00B24AAC"/>
    <w:rsid w:val="00B26F16"/>
    <w:rsid w:val="00B35315"/>
    <w:rsid w:val="00B4771F"/>
    <w:rsid w:val="00B4784B"/>
    <w:rsid w:val="00B51B79"/>
    <w:rsid w:val="00B605CE"/>
    <w:rsid w:val="00B605F7"/>
    <w:rsid w:val="00B649C4"/>
    <w:rsid w:val="00B77369"/>
    <w:rsid w:val="00B82B64"/>
    <w:rsid w:val="00B85F49"/>
    <w:rsid w:val="00B862BF"/>
    <w:rsid w:val="00B87B39"/>
    <w:rsid w:val="00BB11B9"/>
    <w:rsid w:val="00BC2A73"/>
    <w:rsid w:val="00BC42B6"/>
    <w:rsid w:val="00BD6230"/>
    <w:rsid w:val="00BF1795"/>
    <w:rsid w:val="00BF30C5"/>
    <w:rsid w:val="00C02B7D"/>
    <w:rsid w:val="00C0654C"/>
    <w:rsid w:val="00C11283"/>
    <w:rsid w:val="00C25F9D"/>
    <w:rsid w:val="00C30767"/>
    <w:rsid w:val="00C3084B"/>
    <w:rsid w:val="00C31E83"/>
    <w:rsid w:val="00C344AB"/>
    <w:rsid w:val="00C34AA9"/>
    <w:rsid w:val="00C518C1"/>
    <w:rsid w:val="00C53751"/>
    <w:rsid w:val="00C57281"/>
    <w:rsid w:val="00C61286"/>
    <w:rsid w:val="00C63F4F"/>
    <w:rsid w:val="00C92428"/>
    <w:rsid w:val="00C94576"/>
    <w:rsid w:val="00C969FA"/>
    <w:rsid w:val="00C97577"/>
    <w:rsid w:val="00CA71A8"/>
    <w:rsid w:val="00CC03A7"/>
    <w:rsid w:val="00CC3E7A"/>
    <w:rsid w:val="00CC78A5"/>
    <w:rsid w:val="00CD18DD"/>
    <w:rsid w:val="00CD4615"/>
    <w:rsid w:val="00CF0458"/>
    <w:rsid w:val="00CF0A1D"/>
    <w:rsid w:val="00D336D0"/>
    <w:rsid w:val="00D56C09"/>
    <w:rsid w:val="00D64DF4"/>
    <w:rsid w:val="00D65F02"/>
    <w:rsid w:val="00D713D7"/>
    <w:rsid w:val="00D75B84"/>
    <w:rsid w:val="00D75FF8"/>
    <w:rsid w:val="00D968DA"/>
    <w:rsid w:val="00D96C1E"/>
    <w:rsid w:val="00DA1CC6"/>
    <w:rsid w:val="00DA73A0"/>
    <w:rsid w:val="00DB107E"/>
    <w:rsid w:val="00DB23D4"/>
    <w:rsid w:val="00DB5978"/>
    <w:rsid w:val="00DB63D4"/>
    <w:rsid w:val="00DC15D9"/>
    <w:rsid w:val="00DD69AE"/>
    <w:rsid w:val="00DE2B7A"/>
    <w:rsid w:val="00DE3E54"/>
    <w:rsid w:val="00DF4FCD"/>
    <w:rsid w:val="00DF7C07"/>
    <w:rsid w:val="00E11B53"/>
    <w:rsid w:val="00E36899"/>
    <w:rsid w:val="00E36AF7"/>
    <w:rsid w:val="00E4755D"/>
    <w:rsid w:val="00E500F9"/>
    <w:rsid w:val="00E60627"/>
    <w:rsid w:val="00E641DE"/>
    <w:rsid w:val="00E75C7C"/>
    <w:rsid w:val="00E937C7"/>
    <w:rsid w:val="00E95018"/>
    <w:rsid w:val="00EA1EBD"/>
    <w:rsid w:val="00EB33FD"/>
    <w:rsid w:val="00EB724B"/>
    <w:rsid w:val="00EC194E"/>
    <w:rsid w:val="00EC38F4"/>
    <w:rsid w:val="00EC63A4"/>
    <w:rsid w:val="00EC7B24"/>
    <w:rsid w:val="00EC7C0E"/>
    <w:rsid w:val="00ED0D58"/>
    <w:rsid w:val="00ED1712"/>
    <w:rsid w:val="00F15B95"/>
    <w:rsid w:val="00F3256C"/>
    <w:rsid w:val="00F32980"/>
    <w:rsid w:val="00F3473C"/>
    <w:rsid w:val="00F409A9"/>
    <w:rsid w:val="00F42F5D"/>
    <w:rsid w:val="00F50687"/>
    <w:rsid w:val="00F54873"/>
    <w:rsid w:val="00F62BE0"/>
    <w:rsid w:val="00F64260"/>
    <w:rsid w:val="00F8288D"/>
    <w:rsid w:val="00F84B65"/>
    <w:rsid w:val="00F871BA"/>
    <w:rsid w:val="00F92A7E"/>
    <w:rsid w:val="00FA6359"/>
    <w:rsid w:val="00FA6998"/>
    <w:rsid w:val="00FA769F"/>
    <w:rsid w:val="00FA78CA"/>
    <w:rsid w:val="00FB1042"/>
    <w:rsid w:val="00FB780E"/>
    <w:rsid w:val="00FD4527"/>
    <w:rsid w:val="00FD4F29"/>
    <w:rsid w:val="00FE4237"/>
    <w:rsid w:val="00FE6A1D"/>
    <w:rsid w:val="00FF099F"/>
    <w:rsid w:val="00FF79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media-and-communication/public-relations-specialists.htm" TargetMode="External"/><Relationship Id="rId13" Type="http://schemas.openxmlformats.org/officeDocument/2006/relationships/hyperlink" Target="https://onlinepublichealth.gwu.edu/careers/health-communication/"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oney.cnn.com/gallery/pf/2017/01/05/best-jobs-2017/42.html" TargetMode="External"/><Relationship Id="rId17" Type="http://schemas.openxmlformats.org/officeDocument/2006/relationships/hyperlink" Target="file:///C:\Users\sabbotson\Documents\Curriculum\Program%20goals" TargetMode="External"/><Relationship Id="rId2" Type="http://schemas.openxmlformats.org/officeDocument/2006/relationships/styles" Target="styles.xml"/><Relationship Id="rId16" Type="http://schemas.openxmlformats.org/officeDocument/2006/relationships/hyperlink" Target="file:///C:\Users\sabbotson\Documents\Curriculum\Program%20goa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odle.com/articles/what-does-career-growth-look-like-for-a-social-media-manager" TargetMode="External"/><Relationship Id="rId5" Type="http://schemas.openxmlformats.org/officeDocument/2006/relationships/footnotes" Target="footnotes.xml"/><Relationship Id="rId15" Type="http://schemas.openxmlformats.org/officeDocument/2006/relationships/hyperlink" Target="https://nces.ed.gov/ipeds/cipcode/browse.aspx?y=56" TargetMode="External"/><Relationship Id="rId23" Type="http://schemas.openxmlformats.org/officeDocument/2006/relationships/theme" Target="theme/theme1.xml"/><Relationship Id="rId10" Type="http://schemas.openxmlformats.org/officeDocument/2006/relationships/hyperlink" Target="https://research.com/careers/public-policy-careers"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learn.org/articles/Organizational_Communication_Jobs_Answers_to_Your_Questions.html" TargetMode="External"/><Relationship Id="rId14" Type="http://schemas.openxmlformats.org/officeDocument/2006/relationships/hyperlink" Target="file:///C:\Users\gauger_6325\Downloads\transfer%20agre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20</cp:revision>
  <cp:lastPrinted>2015-10-02T15:20:00Z</cp:lastPrinted>
  <dcterms:created xsi:type="dcterms:W3CDTF">2023-02-24T00:27:00Z</dcterms:created>
  <dcterms:modified xsi:type="dcterms:W3CDTF">2023-03-10T03:41:00Z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