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0D0AB271" w:rsidR="00F64260" w:rsidRPr="00A83A6C" w:rsidRDefault="00592CE2" w:rsidP="00B862BF">
            <w:pPr>
              <w:pStyle w:val="Heading5"/>
              <w:rPr>
                <w:b/>
              </w:rPr>
            </w:pPr>
            <w:bookmarkStart w:id="0" w:name="Proposal"/>
            <w:bookmarkEnd w:id="0"/>
            <w:r>
              <w:rPr>
                <w:b/>
              </w:rPr>
              <w:t>Biot</w:t>
            </w:r>
            <w:r w:rsidR="0026134A">
              <w:rPr>
                <w:b/>
              </w:rPr>
              <w:t xml:space="preserve"> 370 Techniques in Biotechnology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4FE9CF9F"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2AE17127" w:rsidR="00F64260" w:rsidRPr="005F2A05" w:rsidRDefault="00F64260" w:rsidP="00FA78CA">
            <w:pPr>
              <w:rPr>
                <w:b/>
              </w:rPr>
            </w:pPr>
            <w:bookmarkStart w:id="4" w:name="type"/>
            <w:r w:rsidRPr="005F2A05">
              <w:rPr>
                <w:b/>
              </w:rPr>
              <w:t xml:space="preserve">Course: </w:t>
            </w:r>
            <w:r>
              <w:rPr>
                <w:b/>
              </w:rPr>
              <w:t xml:space="preserve"> </w:t>
            </w:r>
            <w:r w:rsidRPr="005F2A05">
              <w:rPr>
                <w:b/>
              </w:rPr>
              <w:t>creation</w:t>
            </w:r>
            <w:bookmarkEnd w:id="4"/>
            <w:r w:rsidRPr="005F2A05">
              <w:rPr>
                <w:b/>
              </w:rPr>
              <w:t xml:space="preserve"> </w:t>
            </w:r>
            <w:bookmarkStart w:id="5" w:name="deletion"/>
            <w:bookmarkEnd w:id="5"/>
          </w:p>
          <w:p w14:paraId="52ECEFB4" w14:textId="57CEE8C4"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36B0064" w:rsidR="00F64260" w:rsidRPr="00B605CE" w:rsidRDefault="00592CE2" w:rsidP="00B862BF">
            <w:pPr>
              <w:rPr>
                <w:b/>
              </w:rPr>
            </w:pPr>
            <w:bookmarkStart w:id="6" w:name="Originator"/>
            <w:bookmarkEnd w:id="6"/>
            <w:r>
              <w:rPr>
                <w:b/>
              </w:rPr>
              <w:t xml:space="preserve">Dana </w:t>
            </w:r>
            <w:proofErr w:type="spellStart"/>
            <w:r>
              <w:rPr>
                <w:b/>
              </w:rPr>
              <w:t>Kolibachuk</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7387416" w:rsidR="00F64260" w:rsidRPr="00B605CE" w:rsidRDefault="00592CE2" w:rsidP="00B862BF">
            <w:pPr>
              <w:rPr>
                <w:b/>
              </w:rPr>
            </w:pPr>
            <w:bookmarkStart w:id="7" w:name="home_dept"/>
            <w:bookmarkEnd w:id="7"/>
            <w:r>
              <w:rPr>
                <w:b/>
              </w:rPr>
              <w:t>Biology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CC6964E" w14:textId="77777777" w:rsidR="007E7D68" w:rsidRPr="00FE0C7E" w:rsidRDefault="007E7D68" w:rsidP="007E7D68">
            <w:pPr>
              <w:rPr>
                <w:b/>
                <w:bCs/>
                <w:color w:val="000000" w:themeColor="text1"/>
              </w:rPr>
            </w:pPr>
            <w:bookmarkStart w:id="8" w:name="Rationale"/>
            <w:bookmarkEnd w:id="8"/>
            <w:r w:rsidRPr="00FE0C7E">
              <w:rPr>
                <w:b/>
                <w:bCs/>
                <w:color w:val="000000" w:themeColor="text1"/>
              </w:rPr>
              <w:t xml:space="preserve">This course is the second of two biotechnology-specific lecture/lab courses required for the Biotechnology BS degree. It is expected that students will take this course in their third year, after BIOT 270W (though we have not made 270W a prerequisite to ease progression through the program should students get a semester off track). BIOT 270W is much more introductory in nature and emphasizes the essential writing skills for the biotechnology industry, particularly </w:t>
            </w:r>
            <w:proofErr w:type="gramStart"/>
            <w:r w:rsidRPr="00FE0C7E">
              <w:rPr>
                <w:b/>
                <w:bCs/>
                <w:color w:val="000000" w:themeColor="text1"/>
              </w:rPr>
              <w:t>in the area of</w:t>
            </w:r>
            <w:proofErr w:type="gramEnd"/>
            <w:r w:rsidRPr="00FE0C7E">
              <w:rPr>
                <w:b/>
                <w:bCs/>
                <w:color w:val="000000" w:themeColor="text1"/>
              </w:rPr>
              <w:t xml:space="preserve"> drug development. This course focuses upon protein expression techniques and principles emphasizing those commonly used for the manufacture of biological drug products. Because the topics covered between BIOT 270W and this course (BIOT 370) are very different, students should not be at a disadvantage if they take this course before they take BIOT 270W.  Both courses have the same </w:t>
            </w:r>
            <w:proofErr w:type="spellStart"/>
            <w:r w:rsidRPr="00FE0C7E">
              <w:rPr>
                <w:b/>
                <w:bCs/>
                <w:color w:val="000000" w:themeColor="text1"/>
              </w:rPr>
              <w:t>prereqs</w:t>
            </w:r>
            <w:proofErr w:type="spellEnd"/>
            <w:r w:rsidRPr="00FE0C7E">
              <w:rPr>
                <w:b/>
                <w:bCs/>
                <w:color w:val="000000" w:themeColor="text1"/>
              </w:rPr>
              <w:t xml:space="preserve">- BIOL 314 and CHEM 205W- and this course could additionally serve as an upper-level elective for the Biology BS program, a feature that should increase enrollment. </w:t>
            </w:r>
          </w:p>
          <w:p w14:paraId="06D18053" w14:textId="77777777" w:rsidR="00672B06" w:rsidRDefault="00672B06" w:rsidP="008175DB">
            <w:pPr>
              <w:rPr>
                <w:b/>
                <w:bCs/>
                <w:color w:val="000000" w:themeColor="text1"/>
              </w:rPr>
            </w:pPr>
          </w:p>
          <w:p w14:paraId="2E34A4E7" w14:textId="4375F591" w:rsidR="00672B06" w:rsidRPr="00076870" w:rsidRDefault="00672B06" w:rsidP="00672B06">
            <w:pPr>
              <w:spacing w:line="240" w:lineRule="auto"/>
              <w:rPr>
                <w:b/>
                <w:bCs/>
                <w:color w:val="000000" w:themeColor="text1"/>
              </w:rPr>
            </w:pPr>
            <w:r>
              <w:rPr>
                <w:b/>
                <w:bCs/>
                <w:color w:val="000000" w:themeColor="text1"/>
              </w:rPr>
              <w:t>It is expected that this course will be offered for the first time in Spring 2025.</w:t>
            </w:r>
          </w:p>
          <w:p w14:paraId="41EFFC68" w14:textId="68AB1856" w:rsidR="00672B06" w:rsidRPr="00FA6998" w:rsidRDefault="00672B06" w:rsidP="008175DB">
            <w:pPr>
              <w:rPr>
                <w:b/>
              </w:rPr>
            </w:pPr>
          </w:p>
        </w:tc>
      </w:tr>
      <w:tr w:rsidR="00C3772A" w:rsidRPr="006E3AF2" w14:paraId="376213DA" w14:textId="77777777" w:rsidTr="00517DB2">
        <w:tc>
          <w:tcPr>
            <w:tcW w:w="1111" w:type="pct"/>
            <w:vAlign w:val="center"/>
          </w:tcPr>
          <w:p w14:paraId="33B2C632" w14:textId="77777777" w:rsidR="00C3772A" w:rsidRDefault="00C3772A" w:rsidP="00C3772A">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C3772A" w:rsidRDefault="00C3772A" w:rsidP="00C3772A">
            <w:r>
              <w:t>Must include to explain why this change is being made?</w:t>
            </w:r>
          </w:p>
        </w:tc>
        <w:tc>
          <w:tcPr>
            <w:tcW w:w="3889" w:type="pct"/>
            <w:gridSpan w:val="5"/>
          </w:tcPr>
          <w:p w14:paraId="35826E34" w14:textId="77777777" w:rsidR="00C3772A" w:rsidRDefault="00C3772A" w:rsidP="00C3772A">
            <w:pPr>
              <w:rPr>
                <w:b/>
              </w:rPr>
            </w:pPr>
            <w:bookmarkStart w:id="9" w:name="student_impact"/>
            <w:bookmarkEnd w:id="9"/>
          </w:p>
          <w:p w14:paraId="0194753B" w14:textId="7D8D12E0" w:rsidR="00C3772A" w:rsidRPr="00B649C4" w:rsidRDefault="00672B06" w:rsidP="00C3772A">
            <w:pPr>
              <w:rPr>
                <w:b/>
              </w:rPr>
            </w:pPr>
            <w:r>
              <w:rPr>
                <w:b/>
              </w:rPr>
              <w:t>To provide foundational material in biotechnology, this course is required for the Biotechnology BS program (proposed).</w:t>
            </w:r>
          </w:p>
        </w:tc>
      </w:tr>
      <w:tr w:rsidR="00C3772A" w:rsidRPr="006E3AF2" w14:paraId="7D9FD828" w14:textId="77777777" w:rsidTr="00517DB2">
        <w:tc>
          <w:tcPr>
            <w:tcW w:w="1111" w:type="pct"/>
            <w:vAlign w:val="center"/>
          </w:tcPr>
          <w:p w14:paraId="06D8C9D5" w14:textId="7BD402C9" w:rsidR="00C3772A" w:rsidRPr="00B649C4" w:rsidRDefault="00C3772A" w:rsidP="00C3772A">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60689288" w14:textId="65AA4861" w:rsidR="00B71928" w:rsidRPr="00F41F91" w:rsidRDefault="00B71928" w:rsidP="00B71928">
            <w:pPr>
              <w:spacing w:line="240" w:lineRule="auto"/>
              <w:rPr>
                <w:b/>
                <w:color w:val="000000" w:themeColor="text1"/>
              </w:rPr>
            </w:pPr>
            <w:bookmarkStart w:id="10" w:name="prog_impact"/>
            <w:bookmarkEnd w:id="10"/>
            <w:r w:rsidRPr="00F41F91">
              <w:rPr>
                <w:b/>
              </w:rPr>
              <w:t>Because CHEM</w:t>
            </w:r>
            <w:r w:rsidR="00BF2EDB">
              <w:rPr>
                <w:b/>
              </w:rPr>
              <w:t xml:space="preserve"> </w:t>
            </w:r>
            <w:r w:rsidRPr="00F41F91">
              <w:rPr>
                <w:b/>
              </w:rPr>
              <w:t>205</w:t>
            </w:r>
            <w:r w:rsidR="00BF2EDB">
              <w:rPr>
                <w:b/>
              </w:rPr>
              <w:t>W</w:t>
            </w:r>
            <w:r w:rsidRPr="00F41F91">
              <w:rPr>
                <w:b/>
              </w:rPr>
              <w:t xml:space="preserve"> and BIOL 314 </w:t>
            </w:r>
            <w:r w:rsidR="00AB400A">
              <w:rPr>
                <w:b/>
              </w:rPr>
              <w:t xml:space="preserve">(both included in the program) </w:t>
            </w:r>
            <w:r w:rsidRPr="00F41F91">
              <w:rPr>
                <w:b/>
              </w:rPr>
              <w:t>are listed as prereq</w:t>
            </w:r>
            <w:r>
              <w:rPr>
                <w:b/>
              </w:rPr>
              <w:t>uisite</w:t>
            </w:r>
            <w:r w:rsidRPr="00F41F91">
              <w:rPr>
                <w:b/>
              </w:rPr>
              <w:t>s</w:t>
            </w:r>
            <w:r>
              <w:rPr>
                <w:b/>
              </w:rPr>
              <w:t xml:space="preserve"> to BIOT </w:t>
            </w:r>
            <w:r w:rsidR="00AB400A">
              <w:rPr>
                <w:b/>
              </w:rPr>
              <w:t>3</w:t>
            </w:r>
            <w:r>
              <w:rPr>
                <w:b/>
              </w:rPr>
              <w:t>70W</w:t>
            </w:r>
            <w:r w:rsidRPr="00F41F91">
              <w:rPr>
                <w:b/>
              </w:rPr>
              <w:t xml:space="preserve">, </w:t>
            </w:r>
            <w:r>
              <w:rPr>
                <w:b/>
              </w:rPr>
              <w:t xml:space="preserve">it </w:t>
            </w:r>
            <w:r w:rsidRPr="00F41F91">
              <w:rPr>
                <w:b/>
              </w:rPr>
              <w:t xml:space="preserve">is anticipated that additional seats will be needed in these </w:t>
            </w:r>
            <w:r>
              <w:rPr>
                <w:b/>
              </w:rPr>
              <w:t xml:space="preserve">and prerequisite </w:t>
            </w:r>
            <w:r w:rsidRPr="00F41F91">
              <w:rPr>
                <w:b/>
              </w:rPr>
              <w:t>courses</w:t>
            </w:r>
            <w:r>
              <w:rPr>
                <w:b/>
              </w:rPr>
              <w:t xml:space="preserve"> in Biology and Chemistry</w:t>
            </w:r>
            <w:r w:rsidRPr="00F41F91">
              <w:rPr>
                <w:b/>
              </w:rPr>
              <w:t xml:space="preserve">. </w:t>
            </w:r>
          </w:p>
          <w:p w14:paraId="45C3A50E" w14:textId="77777777" w:rsidR="00C3772A" w:rsidRPr="00B649C4" w:rsidRDefault="00C3772A" w:rsidP="00C3772A">
            <w:pPr>
              <w:rPr>
                <w:b/>
              </w:rPr>
            </w:pPr>
          </w:p>
        </w:tc>
      </w:tr>
      <w:tr w:rsidR="00C3772A" w:rsidRPr="00C25F9D" w14:paraId="45F9633F" w14:textId="77777777" w:rsidTr="008D52B7">
        <w:trPr>
          <w:cantSplit/>
        </w:trPr>
        <w:tc>
          <w:tcPr>
            <w:tcW w:w="1111" w:type="pct"/>
            <w:vMerge w:val="restart"/>
            <w:vAlign w:val="center"/>
          </w:tcPr>
          <w:p w14:paraId="42B7BD53" w14:textId="77777777" w:rsidR="00C3772A" w:rsidRPr="00B649C4" w:rsidRDefault="00C3772A" w:rsidP="00C3772A">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C3772A" w:rsidRDefault="00000000" w:rsidP="00C3772A">
            <w:hyperlink w:anchor="faculty" w:tooltip="Need to hire new full-time or part-time faculty? This is where you indicate if this proposal will be affecting FLH in your department/program." w:history="1">
              <w:r w:rsidR="00C3772A" w:rsidRPr="00905E67">
                <w:rPr>
                  <w:rStyle w:val="Hyperlink"/>
                  <w:i/>
                </w:rPr>
                <w:t>Faculty PT &amp; FT</w:t>
              </w:r>
            </w:hyperlink>
            <w:r w:rsidR="00C3772A">
              <w:t xml:space="preserve">: </w:t>
            </w:r>
          </w:p>
        </w:tc>
        <w:tc>
          <w:tcPr>
            <w:tcW w:w="0" w:type="auto"/>
            <w:gridSpan w:val="4"/>
          </w:tcPr>
          <w:p w14:paraId="41C537C5" w14:textId="443DFDFD" w:rsidR="00C3772A" w:rsidRPr="00C25F9D" w:rsidRDefault="00C3772A" w:rsidP="00C3772A">
            <w:pPr>
              <w:rPr>
                <w:b/>
              </w:rPr>
            </w:pPr>
            <w:r>
              <w:rPr>
                <w:b/>
              </w:rPr>
              <w:t>One new full time faculty member is being funded by the state of RI. A search commences Spring 2023.</w:t>
            </w:r>
          </w:p>
        </w:tc>
      </w:tr>
      <w:tr w:rsidR="00C3772A" w:rsidRPr="00C25F9D" w14:paraId="636A3B25" w14:textId="77777777" w:rsidTr="008D52B7">
        <w:trPr>
          <w:cantSplit/>
        </w:trPr>
        <w:tc>
          <w:tcPr>
            <w:tcW w:w="1111" w:type="pct"/>
            <w:vMerge/>
            <w:vAlign w:val="center"/>
          </w:tcPr>
          <w:p w14:paraId="0B614A32" w14:textId="77777777" w:rsidR="00C3772A" w:rsidRPr="00B649C4" w:rsidRDefault="00C3772A" w:rsidP="00C3772A"/>
        </w:tc>
        <w:tc>
          <w:tcPr>
            <w:tcW w:w="1160" w:type="pct"/>
          </w:tcPr>
          <w:p w14:paraId="2E681FA1" w14:textId="77777777" w:rsidR="00C3772A" w:rsidRPr="000E2CBA" w:rsidRDefault="00000000" w:rsidP="00C3772A">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C3772A" w:rsidRPr="004313E6">
                <w:rPr>
                  <w:rStyle w:val="Hyperlink"/>
                  <w:i/>
                </w:rPr>
                <w:t>Library</w:t>
              </w:r>
              <w:r w:rsidR="00C3772A" w:rsidRPr="004313E6">
                <w:rPr>
                  <w:rStyle w:val="Hyperlink"/>
                </w:rPr>
                <w:t>:</w:t>
              </w:r>
            </w:hyperlink>
          </w:p>
        </w:tc>
        <w:tc>
          <w:tcPr>
            <w:tcW w:w="0" w:type="auto"/>
            <w:gridSpan w:val="4"/>
          </w:tcPr>
          <w:p w14:paraId="6B92378E" w14:textId="13162CFE" w:rsidR="00C3772A" w:rsidRPr="00C25F9D" w:rsidRDefault="00C3772A" w:rsidP="00C3772A">
            <w:pPr>
              <w:rPr>
                <w:b/>
              </w:rPr>
            </w:pPr>
            <w:r>
              <w:rPr>
                <w:b/>
              </w:rPr>
              <w:t>None</w:t>
            </w:r>
          </w:p>
        </w:tc>
      </w:tr>
      <w:tr w:rsidR="00C3772A" w:rsidRPr="00C25F9D" w14:paraId="186A9C2E" w14:textId="77777777" w:rsidTr="008D52B7">
        <w:trPr>
          <w:cantSplit/>
        </w:trPr>
        <w:tc>
          <w:tcPr>
            <w:tcW w:w="1111" w:type="pct"/>
            <w:vMerge/>
            <w:vAlign w:val="center"/>
          </w:tcPr>
          <w:p w14:paraId="7D6BDE51" w14:textId="77777777" w:rsidR="00C3772A" w:rsidRPr="00B649C4" w:rsidRDefault="00C3772A" w:rsidP="00C3772A"/>
        </w:tc>
        <w:tc>
          <w:tcPr>
            <w:tcW w:w="1160" w:type="pct"/>
          </w:tcPr>
          <w:p w14:paraId="2E3CCE80" w14:textId="77777777" w:rsidR="00C3772A" w:rsidRPr="00704CFF" w:rsidRDefault="00000000" w:rsidP="00C3772A">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C3772A" w:rsidRPr="00A87611">
                <w:rPr>
                  <w:rStyle w:val="Hyperlink"/>
                  <w:i/>
                </w:rPr>
                <w:t>Technology</w:t>
              </w:r>
            </w:hyperlink>
          </w:p>
        </w:tc>
        <w:tc>
          <w:tcPr>
            <w:tcW w:w="0" w:type="auto"/>
            <w:gridSpan w:val="4"/>
          </w:tcPr>
          <w:p w14:paraId="6DCACEC0" w14:textId="216386C1" w:rsidR="00C3772A" w:rsidRPr="00C25F9D" w:rsidRDefault="00C3772A" w:rsidP="00C3772A">
            <w:pPr>
              <w:rPr>
                <w:b/>
              </w:rPr>
            </w:pPr>
            <w:r>
              <w:rPr>
                <w:b/>
              </w:rPr>
              <w:t>None</w:t>
            </w:r>
          </w:p>
        </w:tc>
      </w:tr>
      <w:tr w:rsidR="00C3772A" w:rsidRPr="00C25F9D" w14:paraId="6717F369" w14:textId="77777777" w:rsidTr="008D52B7">
        <w:trPr>
          <w:cantSplit/>
        </w:trPr>
        <w:tc>
          <w:tcPr>
            <w:tcW w:w="1111" w:type="pct"/>
            <w:vMerge/>
            <w:vAlign w:val="center"/>
          </w:tcPr>
          <w:p w14:paraId="4CF65113" w14:textId="77777777" w:rsidR="00C3772A" w:rsidRPr="00B649C4" w:rsidRDefault="00C3772A" w:rsidP="00C3772A"/>
        </w:tc>
        <w:tc>
          <w:tcPr>
            <w:tcW w:w="1160" w:type="pct"/>
          </w:tcPr>
          <w:p w14:paraId="209120DE" w14:textId="77777777" w:rsidR="00C3772A" w:rsidRPr="000E2CBA" w:rsidRDefault="00000000" w:rsidP="00C3772A">
            <w:pPr>
              <w:rPr>
                <w:i/>
              </w:rPr>
            </w:pPr>
            <w:hyperlink w:anchor="facilities" w:tooltip="Any special facilities needs? Out-of-pattern scheduling? Other?" w:history="1">
              <w:r w:rsidR="00C3772A" w:rsidRPr="00905E67">
                <w:rPr>
                  <w:rStyle w:val="Hyperlink"/>
                  <w:i/>
                </w:rPr>
                <w:t>Facilities</w:t>
              </w:r>
            </w:hyperlink>
            <w:r w:rsidR="00C3772A">
              <w:t>:</w:t>
            </w:r>
          </w:p>
        </w:tc>
        <w:tc>
          <w:tcPr>
            <w:tcW w:w="0" w:type="auto"/>
            <w:gridSpan w:val="4"/>
          </w:tcPr>
          <w:p w14:paraId="7AA6ABC1" w14:textId="634B6C74" w:rsidR="00C3772A" w:rsidRPr="00C25F9D" w:rsidRDefault="00C3772A" w:rsidP="00C3772A">
            <w:pPr>
              <w:rPr>
                <w:b/>
              </w:rPr>
            </w:pPr>
            <w:r>
              <w:rPr>
                <w:b/>
              </w:rPr>
              <w:t>Space in Fogarty Life Science is being remodeled for Biotechnology laboratory courses and is funded by the state of RI.</w:t>
            </w:r>
          </w:p>
        </w:tc>
      </w:tr>
      <w:tr w:rsidR="00C3772A" w:rsidRPr="006E3AF2" w14:paraId="6C89A581" w14:textId="77777777">
        <w:trPr>
          <w:cantSplit/>
        </w:trPr>
        <w:tc>
          <w:tcPr>
            <w:tcW w:w="1111" w:type="pct"/>
            <w:vAlign w:val="center"/>
          </w:tcPr>
          <w:p w14:paraId="22E79A62" w14:textId="7C9B28A0" w:rsidR="00C3772A" w:rsidRPr="00B649C4" w:rsidRDefault="00C3772A" w:rsidP="00C3772A">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362EEA59" w:rsidR="00C3772A" w:rsidRPr="00B605CE" w:rsidRDefault="00C3772A" w:rsidP="00C3772A">
            <w:pPr>
              <w:rPr>
                <w:b/>
              </w:rPr>
            </w:pPr>
            <w:bookmarkStart w:id="11" w:name="date_submitted"/>
            <w:bookmarkEnd w:id="11"/>
            <w:r>
              <w:rPr>
                <w:b/>
              </w:rPr>
              <w:t>Fall 2023</w:t>
            </w:r>
          </w:p>
        </w:tc>
        <w:tc>
          <w:tcPr>
            <w:tcW w:w="1373" w:type="pct"/>
            <w:gridSpan w:val="2"/>
          </w:tcPr>
          <w:p w14:paraId="5496F461" w14:textId="155AC705" w:rsidR="00C3772A" w:rsidRPr="00B605CE" w:rsidRDefault="00C3772A" w:rsidP="00C3772A">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3E2A0188" w14:textId="7CCA62EF" w:rsidR="00C3772A" w:rsidRPr="00B605CE" w:rsidRDefault="00C3772A" w:rsidP="00C3772A">
            <w:pPr>
              <w:rPr>
                <w:b/>
              </w:rPr>
            </w:pPr>
            <w:bookmarkStart w:id="12" w:name="Semester_effective"/>
            <w:bookmarkEnd w:id="12"/>
            <w:r>
              <w:rPr>
                <w:b/>
              </w:rPr>
              <w:t>n/a</w:t>
            </w:r>
          </w:p>
        </w:tc>
      </w:tr>
      <w:tr w:rsidR="00C3772A" w:rsidRPr="006E3AF2" w14:paraId="017D18C5" w14:textId="77777777">
        <w:trPr>
          <w:cantSplit/>
        </w:trPr>
        <w:tc>
          <w:tcPr>
            <w:tcW w:w="5000" w:type="pct"/>
            <w:gridSpan w:val="6"/>
            <w:vAlign w:val="center"/>
          </w:tcPr>
          <w:p w14:paraId="2F7047BE" w14:textId="2BDD27D6" w:rsidR="00C3772A" w:rsidRPr="00913143" w:rsidRDefault="00C3772A" w:rsidP="00C3772A">
            <w:pPr>
              <w:rPr>
                <w:sz w:val="20"/>
                <w:szCs w:val="20"/>
              </w:rPr>
            </w:pPr>
            <w:r w:rsidRPr="00913143">
              <w:rPr>
                <w:sz w:val="20"/>
                <w:szCs w:val="20"/>
              </w:rPr>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C3772A" w:rsidRPr="006E3AF2" w14:paraId="3E169CC4" w14:textId="77777777">
        <w:trPr>
          <w:cantSplit/>
        </w:trPr>
        <w:tc>
          <w:tcPr>
            <w:tcW w:w="5000" w:type="pct"/>
            <w:gridSpan w:val="6"/>
            <w:vAlign w:val="center"/>
          </w:tcPr>
          <w:p w14:paraId="0474E746" w14:textId="77777777" w:rsidR="00C3772A" w:rsidRDefault="00C3772A" w:rsidP="00C3772A">
            <w:pPr>
              <w:rPr>
                <w:sz w:val="20"/>
                <w:szCs w:val="20"/>
              </w:rPr>
            </w:pPr>
            <w:r>
              <w:rPr>
                <w:sz w:val="20"/>
                <w:szCs w:val="20"/>
              </w:rPr>
              <w:t>A.</w:t>
            </w:r>
            <w:r w:rsidRPr="00CF0A1D">
              <w:rPr>
                <w:sz w:val="20"/>
                <w:szCs w:val="20"/>
              </w:rPr>
              <w:t>11</w:t>
            </w:r>
            <w:r>
              <w:rPr>
                <w:sz w:val="20"/>
                <w:szCs w:val="20"/>
              </w:rPr>
              <w:t xml:space="preserve">. List here (with the relevant </w:t>
            </w:r>
            <w:proofErr w:type="spellStart"/>
            <w:r>
              <w:rPr>
                <w:sz w:val="20"/>
                <w:szCs w:val="20"/>
              </w:rPr>
              <w:t>urls</w:t>
            </w:r>
            <w:proofErr w:type="spellEnd"/>
            <w:r>
              <w:rPr>
                <w:sz w:val="20"/>
                <w:szCs w:val="20"/>
              </w:rPr>
              <w:t>), any RIC website pages that will need to be updated (to which your department does not have access) if this proposal is approved, with an explanation as to what needs to be revised:</w:t>
            </w:r>
          </w:p>
          <w:p w14:paraId="0D46AB7B" w14:textId="77777777" w:rsidR="00C3772A" w:rsidRDefault="00C3772A" w:rsidP="00C3772A">
            <w:pPr>
              <w:rPr>
                <w:sz w:val="20"/>
                <w:szCs w:val="20"/>
              </w:rPr>
            </w:pPr>
          </w:p>
          <w:p w14:paraId="6B2D3A7D" w14:textId="77777777" w:rsidR="00C3772A" w:rsidRDefault="00C3772A" w:rsidP="00C3772A">
            <w:pPr>
              <w:rPr>
                <w:sz w:val="20"/>
                <w:szCs w:val="20"/>
              </w:rPr>
            </w:pPr>
            <w:r>
              <w:rPr>
                <w:sz w:val="20"/>
                <w:szCs w:val="20"/>
              </w:rPr>
              <w:t>A new entry for BIOT-Biotechnology courses the Courses listing, after BIOL-Biology</w:t>
            </w:r>
          </w:p>
          <w:p w14:paraId="4129BF14" w14:textId="77777777" w:rsidR="00C3772A" w:rsidRDefault="00000000" w:rsidP="00C3772A">
            <w:pPr>
              <w:rPr>
                <w:sz w:val="20"/>
                <w:szCs w:val="20"/>
              </w:rPr>
            </w:pPr>
            <w:hyperlink r:id="rId8" w:history="1">
              <w:r w:rsidR="00C3772A" w:rsidRPr="00FB1BA8">
                <w:rPr>
                  <w:rStyle w:val="Hyperlink"/>
                  <w:sz w:val="20"/>
                  <w:szCs w:val="20"/>
                </w:rPr>
                <w:t>https://ric.smartcatalogiq.com/en/2022-2023/Catalog/Courses/BIOL-Biology</w:t>
              </w:r>
            </w:hyperlink>
          </w:p>
          <w:p w14:paraId="79942ADE" w14:textId="77777777" w:rsidR="00C3772A" w:rsidRDefault="00C3772A" w:rsidP="00C3772A">
            <w:pPr>
              <w:rPr>
                <w:sz w:val="20"/>
                <w:szCs w:val="20"/>
              </w:rPr>
            </w:pPr>
            <w:r>
              <w:rPr>
                <w:sz w:val="20"/>
                <w:szCs w:val="20"/>
              </w:rPr>
              <w:t>to include this and the other proposed BIOT courses.</w:t>
            </w:r>
          </w:p>
          <w:p w14:paraId="0FA4BDEB" w14:textId="13D92AAB" w:rsidR="00C3772A" w:rsidRPr="00CF0A1D" w:rsidRDefault="00C3772A" w:rsidP="00C3772A">
            <w:pPr>
              <w:rPr>
                <w:sz w:val="20"/>
                <w:szCs w:val="20"/>
              </w:rPr>
            </w:pPr>
          </w:p>
        </w:tc>
      </w:tr>
      <w:tr w:rsidR="00C3772A" w:rsidRPr="006E3AF2" w14:paraId="07BC844E" w14:textId="77777777">
        <w:trPr>
          <w:cantSplit/>
        </w:trPr>
        <w:tc>
          <w:tcPr>
            <w:tcW w:w="5000" w:type="pct"/>
            <w:gridSpan w:val="6"/>
            <w:vAlign w:val="center"/>
          </w:tcPr>
          <w:p w14:paraId="7083B4D0" w14:textId="45C8673D" w:rsidR="00C3772A" w:rsidRDefault="00C3772A" w:rsidP="00C3772A">
            <w:pPr>
              <w:rPr>
                <w:sz w:val="20"/>
                <w:szCs w:val="20"/>
              </w:rPr>
            </w:pPr>
            <w:r>
              <w:rPr>
                <w:sz w:val="20"/>
                <w:szCs w:val="20"/>
              </w:rPr>
              <w:t xml:space="preserve">A. 12 </w:t>
            </w:r>
            <w:r w:rsidRPr="00E500F9">
              <w:rPr>
                <w:b/>
                <w:sz w:val="20"/>
                <w:szCs w:val="20"/>
              </w:rPr>
              <w:t xml:space="preserve">Check to see if your proposal will impact any of our </w:t>
            </w:r>
            <w:hyperlink r:id="rId9"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p>
        </w:tc>
      </w:tr>
      <w:tr w:rsidR="00C3772A" w:rsidRPr="006E3AF2" w14:paraId="595E0072" w14:textId="77777777">
        <w:trPr>
          <w:cantSplit/>
        </w:trPr>
        <w:tc>
          <w:tcPr>
            <w:tcW w:w="5000" w:type="pct"/>
            <w:gridSpan w:val="6"/>
            <w:vAlign w:val="center"/>
          </w:tcPr>
          <w:p w14:paraId="74D63938" w14:textId="47933722" w:rsidR="00C3772A" w:rsidRDefault="00C3772A" w:rsidP="00C3772A">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3" w:name="cours_title"/>
            <w:bookmarkEnd w:id="13"/>
          </w:p>
        </w:tc>
        <w:tc>
          <w:tcPr>
            <w:tcW w:w="3840" w:type="dxa"/>
            <w:noWrap/>
          </w:tcPr>
          <w:p w14:paraId="6540064C" w14:textId="2EBB4385" w:rsidR="00F64260" w:rsidRPr="009F029C" w:rsidRDefault="00592CE2" w:rsidP="001429AA">
            <w:pPr>
              <w:spacing w:line="240" w:lineRule="auto"/>
              <w:rPr>
                <w:b/>
              </w:rPr>
            </w:pPr>
            <w:r>
              <w:rPr>
                <w:b/>
              </w:rPr>
              <w:t>BIOT 370</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EC8ED07" w:rsidR="00F64260" w:rsidRPr="009F029C" w:rsidRDefault="00592CE2" w:rsidP="001429AA">
            <w:pPr>
              <w:spacing w:line="240" w:lineRule="auto"/>
              <w:rPr>
                <w:b/>
              </w:rPr>
            </w:pPr>
            <w:r>
              <w:rPr>
                <w:b/>
              </w:rPr>
              <w:t>n/a</w:t>
            </w: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4" w:name="title"/>
            <w:bookmarkEnd w:id="14"/>
          </w:p>
        </w:tc>
        <w:tc>
          <w:tcPr>
            <w:tcW w:w="3840" w:type="dxa"/>
            <w:noWrap/>
          </w:tcPr>
          <w:p w14:paraId="2B9DB727" w14:textId="1232ACB3" w:rsidR="00F64260" w:rsidRPr="009F029C" w:rsidRDefault="00592CE2" w:rsidP="001429AA">
            <w:pPr>
              <w:spacing w:line="240" w:lineRule="auto"/>
              <w:rPr>
                <w:b/>
              </w:rPr>
            </w:pPr>
            <w:r>
              <w:rPr>
                <w:b/>
              </w:rPr>
              <w:t>Techniques in Biotechnology</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5" w:name="description"/>
            <w:bookmarkEnd w:id="15"/>
          </w:p>
        </w:tc>
        <w:tc>
          <w:tcPr>
            <w:tcW w:w="3840" w:type="dxa"/>
            <w:noWrap/>
          </w:tcPr>
          <w:p w14:paraId="5643C941" w14:textId="77777777" w:rsidR="00F64260" w:rsidRDefault="00F64260" w:rsidP="001429AA">
            <w:pPr>
              <w:spacing w:line="240" w:lineRule="auto"/>
              <w:rPr>
                <w:b/>
              </w:rPr>
            </w:pPr>
          </w:p>
          <w:p w14:paraId="09E2D8EB" w14:textId="3D850721" w:rsidR="00D16E09" w:rsidRPr="00D16E09" w:rsidRDefault="00D16E09" w:rsidP="00D16E09">
            <w:pPr>
              <w:spacing w:line="240" w:lineRule="auto"/>
              <w:rPr>
                <w:b/>
                <w:bCs/>
                <w:color w:val="000000" w:themeColor="text1"/>
              </w:rPr>
            </w:pPr>
            <w:r w:rsidRPr="00D16E09">
              <w:rPr>
                <w:b/>
                <w:bCs/>
                <w:color w:val="000000" w:themeColor="text1"/>
              </w:rPr>
              <w:t xml:space="preserve">Emphasis is on protein expression techniques and principles important for the manufacturing of biological drug products. </w:t>
            </w:r>
            <w:r w:rsidR="0026134A">
              <w:rPr>
                <w:b/>
                <w:bCs/>
                <w:color w:val="000000" w:themeColor="text1"/>
              </w:rPr>
              <w:t>Students</w:t>
            </w:r>
            <w:r w:rsidRPr="00D16E09">
              <w:rPr>
                <w:b/>
                <w:bCs/>
                <w:color w:val="000000" w:themeColor="text1"/>
              </w:rPr>
              <w:t xml:space="preserve"> will also cover the regulatory framework for drug manufacturing.</w:t>
            </w:r>
            <w:r w:rsidR="00BD2135">
              <w:rPr>
                <w:b/>
                <w:bCs/>
                <w:color w:val="000000" w:themeColor="text1"/>
              </w:rPr>
              <w:t xml:space="preserve"> </w:t>
            </w:r>
            <w:r w:rsidR="00BD2135" w:rsidRPr="00BD2135">
              <w:rPr>
                <w:b/>
                <w:bCs/>
                <w:color w:val="000000" w:themeColor="text1"/>
              </w:rPr>
              <w:t>Lecture and laboratory. 6 contact hours.</w:t>
            </w:r>
          </w:p>
          <w:p w14:paraId="51C7BE85" w14:textId="018CA1C7" w:rsidR="00CE7AB8" w:rsidRPr="009F029C" w:rsidRDefault="00CE7AB8"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DC0E9AF" w:rsidR="00F64260" w:rsidRPr="000A594D" w:rsidRDefault="00F64260" w:rsidP="001429AA">
            <w:pPr>
              <w:spacing w:line="240" w:lineRule="auto"/>
              <w:rPr>
                <w:bCs/>
              </w:rPr>
            </w:pPr>
            <w:bookmarkStart w:id="16" w:name="prereqs"/>
            <w:bookmarkEnd w:id="16"/>
          </w:p>
        </w:tc>
        <w:tc>
          <w:tcPr>
            <w:tcW w:w="3840" w:type="dxa"/>
            <w:noWrap/>
          </w:tcPr>
          <w:p w14:paraId="4DA91B44" w14:textId="04575B8E" w:rsidR="00F64260" w:rsidRPr="009F029C" w:rsidRDefault="00CE7AB8" w:rsidP="001429AA">
            <w:pPr>
              <w:spacing w:line="240" w:lineRule="auto"/>
              <w:rPr>
                <w:b/>
              </w:rPr>
            </w:pPr>
            <w:r>
              <w:rPr>
                <w:b/>
                <w:color w:val="000000" w:themeColor="text1"/>
              </w:rPr>
              <w:t>BIOL 314 with a grade of C or better and CHEM 205</w:t>
            </w:r>
            <w:r w:rsidR="00BF2EDB">
              <w:rPr>
                <w:b/>
                <w:color w:val="000000" w:themeColor="text1"/>
              </w:rPr>
              <w:t>W</w:t>
            </w:r>
            <w:r>
              <w:rPr>
                <w:b/>
                <w:color w:val="000000" w:themeColor="text1"/>
              </w:rPr>
              <w:t>.</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3D17FFCE" w:rsidR="00F64260" w:rsidRPr="009F029C" w:rsidRDefault="00F64260" w:rsidP="000A36CD">
            <w:pPr>
              <w:spacing w:line="240" w:lineRule="auto"/>
              <w:rPr>
                <w:b/>
                <w:sz w:val="20"/>
              </w:rPr>
            </w:pPr>
          </w:p>
        </w:tc>
        <w:tc>
          <w:tcPr>
            <w:tcW w:w="3840" w:type="dxa"/>
            <w:noWrap/>
          </w:tcPr>
          <w:p w14:paraId="6C8D2300" w14:textId="1A5A0B25" w:rsidR="00CE7AB8" w:rsidRPr="009F029C" w:rsidRDefault="00F64260" w:rsidP="00CE7AB8">
            <w:pPr>
              <w:spacing w:line="240" w:lineRule="auto"/>
              <w:rPr>
                <w:b/>
                <w:sz w:val="20"/>
              </w:rPr>
            </w:pPr>
            <w:r w:rsidRPr="009F029C">
              <w:rPr>
                <w:b/>
                <w:sz w:val="20"/>
              </w:rPr>
              <w:t xml:space="preserve">Spring </w:t>
            </w:r>
          </w:p>
          <w:p w14:paraId="67D1137F" w14:textId="0BEECC46"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7" w:name="contacthours"/>
            <w:bookmarkEnd w:id="17"/>
          </w:p>
        </w:tc>
        <w:tc>
          <w:tcPr>
            <w:tcW w:w="3840" w:type="dxa"/>
            <w:noWrap/>
          </w:tcPr>
          <w:p w14:paraId="57D144B9" w14:textId="5E439A75" w:rsidR="00F64260" w:rsidRPr="009F029C" w:rsidRDefault="00592CE2" w:rsidP="001429AA">
            <w:pPr>
              <w:spacing w:line="240" w:lineRule="auto"/>
              <w:rPr>
                <w:b/>
              </w:rPr>
            </w:pPr>
            <w:r>
              <w:rPr>
                <w:b/>
              </w:rPr>
              <w:t>6 (3 lecture</w:t>
            </w:r>
            <w:r w:rsidR="000A594D">
              <w:rPr>
                <w:b/>
              </w:rPr>
              <w:t>,</w:t>
            </w:r>
            <w:r>
              <w:rPr>
                <w:b/>
              </w:rPr>
              <w:t xml:space="preserve"> 3 lab)</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lastRenderedPageBreak/>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8" w:name="credits"/>
            <w:bookmarkEnd w:id="18"/>
          </w:p>
        </w:tc>
        <w:tc>
          <w:tcPr>
            <w:tcW w:w="3840" w:type="dxa"/>
            <w:noWrap/>
          </w:tcPr>
          <w:p w14:paraId="7DD4CAFF" w14:textId="68DFDD18" w:rsidR="00F64260" w:rsidRPr="009F029C" w:rsidRDefault="00592CE2" w:rsidP="001429AA">
            <w:pPr>
              <w:spacing w:line="240" w:lineRule="auto"/>
              <w:rPr>
                <w:b/>
              </w:rPr>
            </w:pPr>
            <w:r>
              <w:rPr>
                <w:b/>
              </w:rPr>
              <w:t>4</w:t>
            </w:r>
          </w:p>
        </w:tc>
      </w:tr>
      <w:tr w:rsidR="00592CE2" w:rsidRPr="006E3AF2" w14:paraId="658C4762" w14:textId="77777777" w:rsidTr="005E2D3D">
        <w:tc>
          <w:tcPr>
            <w:tcW w:w="3100" w:type="dxa"/>
            <w:noWrap/>
            <w:vAlign w:val="center"/>
          </w:tcPr>
          <w:p w14:paraId="4546E96E" w14:textId="3C01EC5C" w:rsidR="00592CE2" w:rsidRPr="006E3AF2" w:rsidRDefault="00592CE2" w:rsidP="00592CE2">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4C75FD89" w14:textId="0CF2C3B2" w:rsidR="00592CE2" w:rsidRPr="009F029C" w:rsidRDefault="00592CE2" w:rsidP="00592CE2">
            <w:pPr>
              <w:spacing w:line="240" w:lineRule="auto"/>
              <w:rPr>
                <w:rStyle w:val="TEXT"/>
              </w:rPr>
            </w:pPr>
            <w:bookmarkStart w:id="19" w:name="differences"/>
            <w:bookmarkEnd w:id="19"/>
            <w:r w:rsidRPr="007044B0">
              <w:rPr>
                <w:rStyle w:val="TEXT"/>
                <w:rFonts w:asciiTheme="minorHAnsi" w:hAnsiTheme="minorHAnsi"/>
                <w:smallCaps w:val="0"/>
                <w:sz w:val="22"/>
              </w:rPr>
              <w:t>This is the typical lecture</w:t>
            </w:r>
            <w:r>
              <w:rPr>
                <w:rStyle w:val="TEXT"/>
                <w:rFonts w:asciiTheme="minorHAnsi" w:hAnsiTheme="minorHAnsi"/>
                <w:smallCaps w:val="0"/>
                <w:sz w:val="22"/>
              </w:rPr>
              <w:t xml:space="preserve">/lab allocation in Biology. </w:t>
            </w:r>
          </w:p>
        </w:tc>
      </w:tr>
      <w:tr w:rsidR="00592CE2" w:rsidRPr="006E3AF2" w14:paraId="1E5DCF31" w14:textId="77777777" w:rsidTr="005E2D3D">
        <w:tc>
          <w:tcPr>
            <w:tcW w:w="3100" w:type="dxa"/>
            <w:noWrap/>
            <w:vAlign w:val="center"/>
          </w:tcPr>
          <w:p w14:paraId="519B79E7" w14:textId="3A9E2D05" w:rsidR="00592CE2" w:rsidRPr="006E3AF2" w:rsidRDefault="00592CE2" w:rsidP="00592CE2">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54A0840F" w14:textId="584A3A36" w:rsidR="00592CE2" w:rsidRPr="009F029C" w:rsidRDefault="00592CE2" w:rsidP="00592CE2">
            <w:pPr>
              <w:spacing w:line="240" w:lineRule="auto"/>
              <w:rPr>
                <w:b/>
                <w:sz w:val="20"/>
              </w:rPr>
            </w:pPr>
          </w:p>
        </w:tc>
        <w:tc>
          <w:tcPr>
            <w:tcW w:w="3840" w:type="dxa"/>
            <w:noWrap/>
          </w:tcPr>
          <w:p w14:paraId="2CF717EE" w14:textId="775D4D4A" w:rsidR="00592CE2" w:rsidRPr="009F029C" w:rsidRDefault="00592CE2" w:rsidP="00592CE2">
            <w:pPr>
              <w:spacing w:line="240" w:lineRule="auto"/>
              <w:rPr>
                <w:b/>
                <w:sz w:val="20"/>
              </w:rPr>
            </w:pPr>
            <w:r w:rsidRPr="009F029C">
              <w:rPr>
                <w:b/>
                <w:sz w:val="20"/>
              </w:rPr>
              <w:t>Letter grade</w:t>
            </w:r>
          </w:p>
        </w:tc>
      </w:tr>
      <w:tr w:rsidR="00592CE2" w:rsidRPr="006E3AF2" w14:paraId="66DAB74D" w14:textId="77777777" w:rsidTr="005E2D3D">
        <w:tc>
          <w:tcPr>
            <w:tcW w:w="3100" w:type="dxa"/>
            <w:noWrap/>
            <w:vAlign w:val="center"/>
          </w:tcPr>
          <w:p w14:paraId="0FE25A74" w14:textId="688A67BD" w:rsidR="00592CE2" w:rsidRPr="006E3AF2" w:rsidRDefault="00592CE2" w:rsidP="00592CE2">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79B4CAD6" w14:textId="6C37FD28" w:rsidR="00592CE2" w:rsidRPr="009F029C" w:rsidRDefault="00592CE2" w:rsidP="00592CE2">
            <w:pPr>
              <w:spacing w:line="240" w:lineRule="auto"/>
              <w:rPr>
                <w:b/>
                <w:sz w:val="20"/>
              </w:rPr>
            </w:pPr>
            <w:bookmarkStart w:id="20" w:name="instr_methods"/>
            <w:bookmarkEnd w:id="20"/>
          </w:p>
        </w:tc>
        <w:tc>
          <w:tcPr>
            <w:tcW w:w="3840" w:type="dxa"/>
            <w:noWrap/>
          </w:tcPr>
          <w:p w14:paraId="27D66483" w14:textId="08437726" w:rsidR="00592CE2" w:rsidRPr="009F029C" w:rsidRDefault="00592CE2" w:rsidP="00592CE2">
            <w:pPr>
              <w:spacing w:line="240" w:lineRule="auto"/>
              <w:rPr>
                <w:b/>
                <w:sz w:val="20"/>
              </w:rPr>
            </w:pPr>
            <w:r w:rsidRPr="009F029C">
              <w:rPr>
                <w:b/>
                <w:sz w:val="20"/>
              </w:rPr>
              <w:t xml:space="preserve">Laboratory </w:t>
            </w:r>
            <w:r w:rsidRPr="009F029C">
              <w:rPr>
                <w:rFonts w:ascii="MS Mincho" w:eastAsia="MS Mincho" w:hAnsi="MS Mincho" w:cs="MS Mincho"/>
                <w:b/>
                <w:sz w:val="20"/>
              </w:rPr>
              <w:t xml:space="preserve">| </w:t>
            </w:r>
            <w:r w:rsidRPr="009F029C">
              <w:rPr>
                <w:b/>
                <w:sz w:val="20"/>
              </w:rPr>
              <w:t xml:space="preserve">Lecture </w:t>
            </w:r>
          </w:p>
        </w:tc>
      </w:tr>
      <w:tr w:rsidR="00592CE2" w:rsidRPr="006E3AF2" w14:paraId="44DD924E" w14:textId="77777777" w:rsidTr="005E2D3D">
        <w:tc>
          <w:tcPr>
            <w:tcW w:w="3100" w:type="dxa"/>
            <w:noWrap/>
            <w:vAlign w:val="center"/>
          </w:tcPr>
          <w:p w14:paraId="0DDBE555" w14:textId="77777777" w:rsidR="00592CE2" w:rsidRDefault="00592CE2" w:rsidP="00592CE2">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6F60B621" w:rsidR="00592CE2" w:rsidRPr="009F029C" w:rsidRDefault="00592CE2" w:rsidP="00592CE2">
            <w:pPr>
              <w:spacing w:line="240" w:lineRule="auto"/>
              <w:rPr>
                <w:b/>
                <w:sz w:val="20"/>
              </w:rPr>
            </w:pPr>
          </w:p>
        </w:tc>
        <w:tc>
          <w:tcPr>
            <w:tcW w:w="3840" w:type="dxa"/>
            <w:noWrap/>
          </w:tcPr>
          <w:p w14:paraId="50FE8A9A" w14:textId="7A6E2A7B" w:rsidR="00592CE2" w:rsidRPr="009F029C" w:rsidRDefault="00592CE2" w:rsidP="00592CE2">
            <w:pPr>
              <w:spacing w:line="240" w:lineRule="auto"/>
              <w:rPr>
                <w:b/>
                <w:sz w:val="20"/>
              </w:rPr>
            </w:pPr>
            <w:r>
              <w:rPr>
                <w:b/>
                <w:sz w:val="20"/>
              </w:rPr>
              <w:t xml:space="preserve">On campus </w:t>
            </w:r>
          </w:p>
          <w:p w14:paraId="50180751" w14:textId="1F3EA3A8" w:rsidR="00592CE2" w:rsidRPr="009F029C" w:rsidRDefault="00592CE2" w:rsidP="00592CE2">
            <w:pPr>
              <w:spacing w:line="240" w:lineRule="auto"/>
              <w:rPr>
                <w:b/>
                <w:sz w:val="20"/>
              </w:rPr>
            </w:pPr>
          </w:p>
        </w:tc>
      </w:tr>
      <w:tr w:rsidR="00592CE2" w:rsidRPr="006E3AF2" w14:paraId="40E0E48F" w14:textId="77777777" w:rsidTr="005E2D3D">
        <w:tc>
          <w:tcPr>
            <w:tcW w:w="3100" w:type="dxa"/>
            <w:noWrap/>
            <w:vAlign w:val="center"/>
          </w:tcPr>
          <w:p w14:paraId="75167C81" w14:textId="1534D889" w:rsidR="00592CE2" w:rsidRDefault="00592CE2" w:rsidP="00592CE2">
            <w:pPr>
              <w:spacing w:line="240" w:lineRule="auto"/>
            </w:pPr>
            <w:r>
              <w:t>B.12.  CATEGORIES</w:t>
            </w:r>
          </w:p>
          <w:p w14:paraId="6FB6EA46" w14:textId="3187FB97" w:rsidR="00592CE2" w:rsidRPr="006E3AF2" w:rsidRDefault="00592CE2" w:rsidP="00592CE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725ED4CB" w:rsidR="00592CE2" w:rsidRPr="009F029C" w:rsidRDefault="00592CE2" w:rsidP="00592CE2">
            <w:pPr>
              <w:spacing w:line="240" w:lineRule="auto"/>
              <w:rPr>
                <w:b/>
                <w:sz w:val="20"/>
              </w:rPr>
            </w:pPr>
            <w:bookmarkStart w:id="21" w:name="required"/>
            <w:bookmarkEnd w:id="21"/>
          </w:p>
        </w:tc>
        <w:tc>
          <w:tcPr>
            <w:tcW w:w="3840" w:type="dxa"/>
            <w:noWrap/>
          </w:tcPr>
          <w:p w14:paraId="442E5788" w14:textId="5E4E0691" w:rsidR="00592CE2" w:rsidRPr="009F029C" w:rsidRDefault="00592CE2" w:rsidP="00592CE2">
            <w:pPr>
              <w:spacing w:line="240" w:lineRule="auto"/>
              <w:rPr>
                <w:b/>
                <w:sz w:val="20"/>
              </w:rPr>
            </w:pPr>
            <w:r w:rsidRPr="009F029C">
              <w:rPr>
                <w:b/>
                <w:sz w:val="20"/>
              </w:rPr>
              <w:t>Required for major</w:t>
            </w:r>
          </w:p>
        </w:tc>
      </w:tr>
      <w:tr w:rsidR="00592CE2" w:rsidRPr="006E3AF2" w14:paraId="4F77409C" w14:textId="77777777" w:rsidTr="005E2D3D">
        <w:tc>
          <w:tcPr>
            <w:tcW w:w="3100" w:type="dxa"/>
            <w:noWrap/>
            <w:vAlign w:val="center"/>
          </w:tcPr>
          <w:p w14:paraId="7F5AE404" w14:textId="48CB92C4" w:rsidR="00592CE2" w:rsidRDefault="00592CE2" w:rsidP="00592CE2">
            <w:pPr>
              <w:spacing w:line="240" w:lineRule="auto"/>
            </w:pPr>
            <w:r>
              <w:t xml:space="preserve">       12 b. </w:t>
            </w:r>
            <w:r w:rsidRPr="006E3AF2">
              <w:t xml:space="preserve">Is this an Honors </w:t>
            </w:r>
            <w:r>
              <w:t xml:space="preserve"> </w:t>
            </w:r>
          </w:p>
          <w:p w14:paraId="0EAD07DC" w14:textId="134BC383" w:rsidR="00592CE2" w:rsidRPr="006E3AF2" w:rsidRDefault="00592CE2" w:rsidP="00592CE2">
            <w:pPr>
              <w:spacing w:line="240" w:lineRule="auto"/>
            </w:pPr>
            <w:r>
              <w:t xml:space="preserve">        </w:t>
            </w:r>
            <w:r w:rsidRPr="006E3AF2">
              <w:t>course?</w:t>
            </w:r>
          </w:p>
        </w:tc>
        <w:tc>
          <w:tcPr>
            <w:tcW w:w="3840" w:type="dxa"/>
            <w:noWrap/>
          </w:tcPr>
          <w:p w14:paraId="1F134875" w14:textId="676FA7FC" w:rsidR="00592CE2" w:rsidRPr="009F029C" w:rsidRDefault="00592CE2" w:rsidP="00592CE2">
            <w:pPr>
              <w:spacing w:line="240" w:lineRule="auto"/>
              <w:rPr>
                <w:b/>
              </w:rPr>
            </w:pPr>
          </w:p>
        </w:tc>
        <w:tc>
          <w:tcPr>
            <w:tcW w:w="3840" w:type="dxa"/>
            <w:noWrap/>
          </w:tcPr>
          <w:p w14:paraId="41CF798F" w14:textId="3B167412" w:rsidR="00592CE2" w:rsidRPr="009F029C" w:rsidRDefault="00592CE2" w:rsidP="00592CE2">
            <w:pPr>
              <w:spacing w:line="240" w:lineRule="auto"/>
              <w:rPr>
                <w:b/>
              </w:rPr>
            </w:pPr>
            <w:r>
              <w:rPr>
                <w:b/>
              </w:rPr>
              <w:t>NO</w:t>
            </w:r>
          </w:p>
        </w:tc>
      </w:tr>
      <w:tr w:rsidR="00592CE2" w:rsidRPr="006E3AF2" w14:paraId="3A6D1D6E" w14:textId="77777777" w:rsidTr="005E2D3D">
        <w:tc>
          <w:tcPr>
            <w:tcW w:w="3100" w:type="dxa"/>
            <w:noWrap/>
            <w:vAlign w:val="center"/>
          </w:tcPr>
          <w:p w14:paraId="0625709D" w14:textId="59C306BF" w:rsidR="00592CE2" w:rsidRDefault="00592CE2" w:rsidP="00592CE2">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592CE2" w:rsidRDefault="00592CE2" w:rsidP="00592CE2">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592CE2" w:rsidRDefault="00592CE2" w:rsidP="00592CE2">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592CE2" w:rsidRPr="00D96C1E" w:rsidRDefault="00592CE2" w:rsidP="00592CE2">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17B75ECA" w:rsidR="00592CE2" w:rsidRPr="009F029C" w:rsidRDefault="00592CE2" w:rsidP="00592CE2">
            <w:pPr>
              <w:rPr>
                <w:b/>
                <w:sz w:val="20"/>
              </w:rPr>
            </w:pPr>
            <w:bookmarkStart w:id="22" w:name="ge"/>
            <w:bookmarkEnd w:id="22"/>
          </w:p>
        </w:tc>
        <w:tc>
          <w:tcPr>
            <w:tcW w:w="3840" w:type="dxa"/>
            <w:noWrap/>
          </w:tcPr>
          <w:p w14:paraId="411B25D5" w14:textId="418C5965" w:rsidR="00592CE2" w:rsidRDefault="00592CE2" w:rsidP="00592CE2">
            <w:pPr>
              <w:spacing w:line="240" w:lineRule="auto"/>
              <w:rPr>
                <w:rFonts w:ascii="MS Mincho" w:eastAsia="MS Mincho" w:hAnsi="MS Mincho" w:cs="MS Mincho"/>
                <w:b/>
                <w:sz w:val="20"/>
              </w:rPr>
            </w:pPr>
            <w:r>
              <w:rPr>
                <w:b/>
              </w:rPr>
              <w:t xml:space="preserve">NO </w:t>
            </w:r>
          </w:p>
          <w:p w14:paraId="45B135E3" w14:textId="404E5248" w:rsidR="00592CE2" w:rsidRPr="009F029C" w:rsidRDefault="00592CE2" w:rsidP="00592CE2">
            <w:pPr>
              <w:spacing w:line="240" w:lineRule="auto"/>
              <w:rPr>
                <w:b/>
                <w:sz w:val="20"/>
              </w:rPr>
            </w:pPr>
          </w:p>
        </w:tc>
      </w:tr>
      <w:tr w:rsidR="00592CE2" w:rsidRPr="006E3AF2" w14:paraId="14ABFD2C" w14:textId="77777777" w:rsidTr="005E2D3D">
        <w:tc>
          <w:tcPr>
            <w:tcW w:w="3100" w:type="dxa"/>
            <w:noWrap/>
            <w:vAlign w:val="center"/>
          </w:tcPr>
          <w:p w14:paraId="6E254464" w14:textId="77777777" w:rsidR="00592CE2" w:rsidRDefault="00592CE2" w:rsidP="00592CE2">
            <w:pPr>
              <w:spacing w:line="240" w:lineRule="auto"/>
            </w:pPr>
            <w:r>
              <w:t xml:space="preserve">       12. d.  Writing in the </w:t>
            </w:r>
          </w:p>
          <w:p w14:paraId="1762C985" w14:textId="22C77AE9" w:rsidR="00592CE2" w:rsidRDefault="00592CE2" w:rsidP="00592CE2">
            <w:pPr>
              <w:spacing w:line="240" w:lineRule="auto"/>
            </w:pPr>
            <w:r>
              <w:t xml:space="preserve">       Discipline (WID)</w:t>
            </w:r>
          </w:p>
        </w:tc>
        <w:tc>
          <w:tcPr>
            <w:tcW w:w="3840" w:type="dxa"/>
            <w:noWrap/>
          </w:tcPr>
          <w:p w14:paraId="43D9AC56" w14:textId="70BC1B8F" w:rsidR="00592CE2" w:rsidRDefault="00592CE2" w:rsidP="00592CE2">
            <w:pPr>
              <w:rPr>
                <w:b/>
              </w:rPr>
            </w:pPr>
          </w:p>
        </w:tc>
        <w:tc>
          <w:tcPr>
            <w:tcW w:w="3840" w:type="dxa"/>
            <w:noWrap/>
          </w:tcPr>
          <w:p w14:paraId="10B541DA" w14:textId="488DC3F3" w:rsidR="00592CE2" w:rsidRDefault="00592CE2" w:rsidP="00592CE2">
            <w:pPr>
              <w:spacing w:line="240" w:lineRule="auto"/>
              <w:rPr>
                <w:b/>
              </w:rPr>
            </w:pPr>
            <w:r>
              <w:rPr>
                <w:b/>
              </w:rPr>
              <w:t>NO</w:t>
            </w:r>
          </w:p>
        </w:tc>
      </w:tr>
      <w:tr w:rsidR="00592CE2" w:rsidRPr="006E3AF2" w14:paraId="7309520B" w14:textId="77777777" w:rsidTr="005E2D3D">
        <w:tc>
          <w:tcPr>
            <w:tcW w:w="3100" w:type="dxa"/>
            <w:noWrap/>
            <w:vAlign w:val="center"/>
          </w:tcPr>
          <w:p w14:paraId="070EE83F" w14:textId="005F377C" w:rsidR="00592CE2" w:rsidRPr="006E3AF2" w:rsidRDefault="00592CE2" w:rsidP="00592CE2">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01A31DE5" w:rsidR="00592CE2" w:rsidRPr="009F029C" w:rsidRDefault="00592CE2" w:rsidP="00592CE2">
            <w:pPr>
              <w:spacing w:line="240" w:lineRule="auto"/>
              <w:rPr>
                <w:b/>
                <w:sz w:val="20"/>
              </w:rPr>
            </w:pPr>
            <w:bookmarkStart w:id="23" w:name="performance"/>
            <w:bookmarkEnd w:id="23"/>
          </w:p>
        </w:tc>
        <w:tc>
          <w:tcPr>
            <w:tcW w:w="3840" w:type="dxa"/>
            <w:noWrap/>
          </w:tcPr>
          <w:p w14:paraId="2E0EE9A4" w14:textId="0B6A58D2" w:rsidR="00592CE2" w:rsidRPr="00CE7AB8" w:rsidRDefault="00592CE2" w:rsidP="00592CE2">
            <w:pPr>
              <w:spacing w:line="240" w:lineRule="auto"/>
              <w:rPr>
                <w:rFonts w:ascii="MS Mincho" w:eastAsia="MS Mincho" w:hAnsi="MS Mincho" w:cs="MS Mincho"/>
                <w:b/>
                <w:color w:val="000000" w:themeColor="text1"/>
                <w:sz w:val="20"/>
              </w:rPr>
            </w:pPr>
            <w:r w:rsidRPr="00CE7AB8">
              <w:rPr>
                <w:b/>
                <w:color w:val="000000" w:themeColor="text1"/>
                <w:sz w:val="20"/>
              </w:rPr>
              <w:t xml:space="preserve">Exams </w:t>
            </w:r>
            <w:r w:rsidRPr="00CE7AB8">
              <w:rPr>
                <w:rFonts w:ascii="MS Mincho" w:eastAsia="MS Mincho" w:hAnsi="MS Mincho" w:cs="MS Mincho"/>
                <w:b/>
                <w:color w:val="000000" w:themeColor="text1"/>
                <w:sz w:val="20"/>
              </w:rPr>
              <w:t xml:space="preserve">| </w:t>
            </w:r>
            <w:r w:rsidRPr="00CE7AB8">
              <w:rPr>
                <w:b/>
                <w:color w:val="000000" w:themeColor="text1"/>
                <w:sz w:val="20"/>
              </w:rPr>
              <w:t xml:space="preserve">Presentations </w:t>
            </w:r>
            <w:r w:rsidRPr="00CE7AB8">
              <w:rPr>
                <w:rFonts w:ascii="MS Mincho" w:eastAsia="MS Mincho" w:hAnsi="MS Mincho" w:cs="MS Mincho"/>
                <w:b/>
                <w:color w:val="000000" w:themeColor="text1"/>
                <w:sz w:val="20"/>
              </w:rPr>
              <w:t>|</w:t>
            </w:r>
            <w:r w:rsidRPr="00CE7AB8">
              <w:rPr>
                <w:b/>
                <w:color w:val="000000" w:themeColor="text1"/>
                <w:sz w:val="20"/>
              </w:rPr>
              <w:t xml:space="preserve">Papers </w:t>
            </w:r>
            <w:r w:rsidRPr="00CE7AB8">
              <w:rPr>
                <w:rFonts w:ascii="MS Mincho" w:eastAsia="MS Mincho" w:hAnsi="MS Mincho" w:cs="MS Mincho"/>
                <w:b/>
                <w:color w:val="000000" w:themeColor="text1"/>
                <w:sz w:val="20"/>
              </w:rPr>
              <w:t xml:space="preserve">| </w:t>
            </w:r>
          </w:p>
          <w:p w14:paraId="0D2600E3" w14:textId="2AF70B1B" w:rsidR="00592CE2" w:rsidRPr="00CE7AB8" w:rsidRDefault="00D16E09" w:rsidP="00592CE2">
            <w:pPr>
              <w:spacing w:line="240" w:lineRule="auto"/>
              <w:rPr>
                <w:b/>
                <w:color w:val="000000" w:themeColor="text1"/>
                <w:sz w:val="20"/>
              </w:rPr>
            </w:pPr>
            <w:r>
              <w:rPr>
                <w:b/>
                <w:color w:val="000000" w:themeColor="text1"/>
                <w:sz w:val="20"/>
              </w:rPr>
              <w:t>Lab</w:t>
            </w:r>
            <w:r w:rsidR="00592CE2" w:rsidRPr="00CE7AB8">
              <w:rPr>
                <w:b/>
                <w:color w:val="000000" w:themeColor="text1"/>
                <w:sz w:val="20"/>
              </w:rPr>
              <w:t xml:space="preserve"> Work </w:t>
            </w:r>
            <w:r w:rsidR="00592CE2" w:rsidRPr="00CE7AB8">
              <w:rPr>
                <w:rFonts w:ascii="MS Mincho" w:eastAsia="MS Mincho" w:hAnsi="MS Mincho" w:cs="MS Mincho"/>
                <w:b/>
                <w:color w:val="000000" w:themeColor="text1"/>
                <w:sz w:val="20"/>
              </w:rPr>
              <w:t xml:space="preserve">| </w:t>
            </w:r>
            <w:r w:rsidR="00592CE2" w:rsidRPr="00CE7AB8">
              <w:rPr>
                <w:b/>
                <w:color w:val="000000" w:themeColor="text1"/>
                <w:sz w:val="20"/>
              </w:rPr>
              <w:t xml:space="preserve">Quizzes </w:t>
            </w:r>
          </w:p>
          <w:p w14:paraId="33AC4615" w14:textId="09DE239E" w:rsidR="00592CE2" w:rsidRPr="009F029C" w:rsidRDefault="00592CE2" w:rsidP="00592CE2">
            <w:pPr>
              <w:spacing w:line="240" w:lineRule="auto"/>
              <w:rPr>
                <w:b/>
                <w:sz w:val="20"/>
              </w:rPr>
            </w:pPr>
          </w:p>
        </w:tc>
      </w:tr>
      <w:tr w:rsidR="00592CE2" w:rsidRPr="006E3AF2" w14:paraId="679110FC" w14:textId="77777777" w:rsidTr="005E2D3D">
        <w:tc>
          <w:tcPr>
            <w:tcW w:w="3100" w:type="dxa"/>
            <w:noWrap/>
            <w:vAlign w:val="center"/>
          </w:tcPr>
          <w:p w14:paraId="76B36BCE" w14:textId="39C4BAC4" w:rsidR="00592CE2" w:rsidRDefault="00592CE2" w:rsidP="00592CE2">
            <w:pPr>
              <w:spacing w:line="240" w:lineRule="auto"/>
            </w:pPr>
            <w:r>
              <w:t xml:space="preserve">B.14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592CE2" w:rsidRPr="009F029C" w:rsidRDefault="00592CE2" w:rsidP="00592CE2">
            <w:pPr>
              <w:spacing w:line="240" w:lineRule="auto"/>
              <w:rPr>
                <w:b/>
              </w:rPr>
            </w:pPr>
          </w:p>
        </w:tc>
        <w:tc>
          <w:tcPr>
            <w:tcW w:w="3840" w:type="dxa"/>
            <w:noWrap/>
          </w:tcPr>
          <w:p w14:paraId="79164CE6" w14:textId="5B03C77A" w:rsidR="00592CE2" w:rsidRPr="009F029C" w:rsidRDefault="000A594D" w:rsidP="00592CE2">
            <w:pPr>
              <w:spacing w:line="240" w:lineRule="auto"/>
              <w:rPr>
                <w:b/>
              </w:rPr>
            </w:pPr>
            <w:r>
              <w:rPr>
                <w:b/>
              </w:rPr>
              <w:t>24</w:t>
            </w:r>
          </w:p>
        </w:tc>
      </w:tr>
      <w:tr w:rsidR="00592CE2" w:rsidRPr="006E3AF2" w14:paraId="071E0CC5" w14:textId="77777777" w:rsidTr="005E2D3D">
        <w:tc>
          <w:tcPr>
            <w:tcW w:w="3100" w:type="dxa"/>
            <w:noWrap/>
            <w:vAlign w:val="center"/>
          </w:tcPr>
          <w:p w14:paraId="479D5599" w14:textId="1DDF6872" w:rsidR="00592CE2" w:rsidRPr="006E3AF2" w:rsidRDefault="00592CE2" w:rsidP="00592CE2">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592CE2" w:rsidRPr="009F029C" w:rsidRDefault="00592CE2" w:rsidP="00592CE2">
            <w:pPr>
              <w:spacing w:line="240" w:lineRule="auto"/>
              <w:rPr>
                <w:b/>
              </w:rPr>
            </w:pPr>
            <w:bookmarkStart w:id="25" w:name="competing"/>
            <w:bookmarkEnd w:id="25"/>
          </w:p>
        </w:tc>
        <w:tc>
          <w:tcPr>
            <w:tcW w:w="3840" w:type="dxa"/>
            <w:noWrap/>
          </w:tcPr>
          <w:p w14:paraId="15AF74BC" w14:textId="074DD628" w:rsidR="00592CE2" w:rsidRPr="009F029C" w:rsidRDefault="00592CE2" w:rsidP="00592CE2">
            <w:pPr>
              <w:spacing w:line="240" w:lineRule="auto"/>
              <w:rPr>
                <w:b/>
              </w:rPr>
            </w:pPr>
            <w:r>
              <w:rPr>
                <w:b/>
              </w:rPr>
              <w:t>n/a</w:t>
            </w:r>
          </w:p>
        </w:tc>
      </w:tr>
      <w:tr w:rsidR="00592CE2" w:rsidRPr="006E3AF2" w14:paraId="5CAD96CC" w14:textId="77777777" w:rsidTr="005E2D3D">
        <w:tc>
          <w:tcPr>
            <w:tcW w:w="3100" w:type="dxa"/>
            <w:noWrap/>
            <w:vAlign w:val="center"/>
          </w:tcPr>
          <w:p w14:paraId="26DC8516" w14:textId="5DDE411E" w:rsidR="00592CE2" w:rsidRPr="006E3AF2" w:rsidRDefault="00592CE2" w:rsidP="00592CE2">
            <w:pPr>
              <w:spacing w:line="240" w:lineRule="auto"/>
            </w:pPr>
            <w:r>
              <w:t xml:space="preserve">B. 16. </w:t>
            </w:r>
            <w:r w:rsidRPr="00EC63A4">
              <w:t>Other changes, if any</w:t>
            </w:r>
          </w:p>
        </w:tc>
        <w:tc>
          <w:tcPr>
            <w:tcW w:w="7680" w:type="dxa"/>
            <w:gridSpan w:val="2"/>
            <w:noWrap/>
          </w:tcPr>
          <w:p w14:paraId="74EA5436" w14:textId="77777777" w:rsidR="00592CE2" w:rsidRPr="009F029C" w:rsidRDefault="00592CE2" w:rsidP="00592CE2">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58"/>
        <w:gridCol w:w="1894"/>
        <w:gridCol w:w="4528"/>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68D07656" w14:textId="77777777" w:rsidR="00834E59" w:rsidRPr="00CE7AB8" w:rsidRDefault="00834E59" w:rsidP="00CE7AB8">
            <w:pPr>
              <w:pStyle w:val="ListParagraph"/>
              <w:numPr>
                <w:ilvl w:val="0"/>
                <w:numId w:val="15"/>
              </w:numPr>
              <w:rPr>
                <w:rFonts w:asciiTheme="minorHAnsi" w:hAnsiTheme="minorHAnsi" w:cs="Arial"/>
                <w:bCs/>
                <w:color w:val="000000"/>
              </w:rPr>
            </w:pPr>
            <w:bookmarkStart w:id="26" w:name="outcomes"/>
            <w:bookmarkEnd w:id="26"/>
            <w:r w:rsidRPr="00CE7AB8">
              <w:rPr>
                <w:rFonts w:asciiTheme="minorHAnsi" w:hAnsiTheme="minorHAnsi" w:cs="Arial"/>
                <w:bCs/>
                <w:color w:val="000000"/>
              </w:rPr>
              <w:t>Describe the basic regulatory framework for Good Manufacturing Practices (GMP) and Good Laboratory Practices (GLP)</w:t>
            </w:r>
          </w:p>
          <w:p w14:paraId="4E937535" w14:textId="77777777" w:rsidR="00F64260" w:rsidRPr="00834E59" w:rsidRDefault="00F64260">
            <w:pPr>
              <w:spacing w:line="240" w:lineRule="auto"/>
              <w:rPr>
                <w:rFonts w:asciiTheme="minorHAnsi" w:hAnsiTheme="minorHAnsi"/>
                <w:bCs/>
              </w:rPr>
            </w:pPr>
          </w:p>
        </w:tc>
        <w:tc>
          <w:tcPr>
            <w:tcW w:w="1894" w:type="dxa"/>
          </w:tcPr>
          <w:p w14:paraId="0A045709" w14:textId="77777777" w:rsidR="00F64260" w:rsidRDefault="00F64260">
            <w:pPr>
              <w:spacing w:line="240" w:lineRule="auto"/>
            </w:pPr>
          </w:p>
        </w:tc>
        <w:tc>
          <w:tcPr>
            <w:tcW w:w="4693" w:type="dxa"/>
          </w:tcPr>
          <w:p w14:paraId="638BB382" w14:textId="53D7F376" w:rsidR="00F64260" w:rsidRDefault="00834E59" w:rsidP="00AE7A3D">
            <w:pPr>
              <w:spacing w:line="240" w:lineRule="auto"/>
            </w:pPr>
            <w:r>
              <w:t>B.13.</w:t>
            </w:r>
          </w:p>
        </w:tc>
      </w:tr>
      <w:tr w:rsidR="00834E59" w14:paraId="60BB7033" w14:textId="77777777" w:rsidTr="00115A68">
        <w:tc>
          <w:tcPr>
            <w:tcW w:w="4429" w:type="dxa"/>
          </w:tcPr>
          <w:p w14:paraId="3E4C475A" w14:textId="458C0470" w:rsidR="00834E59" w:rsidRPr="00CE7AB8" w:rsidRDefault="00834E59" w:rsidP="00CE7AB8">
            <w:pPr>
              <w:pStyle w:val="ListParagraph"/>
              <w:numPr>
                <w:ilvl w:val="0"/>
                <w:numId w:val="15"/>
              </w:numPr>
              <w:rPr>
                <w:rFonts w:asciiTheme="minorHAnsi" w:hAnsiTheme="minorHAnsi" w:cs="Arial"/>
                <w:bCs/>
                <w:color w:val="000000"/>
              </w:rPr>
            </w:pPr>
            <w:r w:rsidRPr="00CE7AB8">
              <w:rPr>
                <w:rFonts w:asciiTheme="minorHAnsi" w:hAnsiTheme="minorHAnsi" w:cs="Arial"/>
                <w:bCs/>
                <w:color w:val="000000"/>
              </w:rPr>
              <w:t>Describe and perform basic cell culture techniques including cell enumerations and dilutions, aseptic technique and basic cell passage/maintenance, and media requirements for growth.</w:t>
            </w:r>
          </w:p>
          <w:p w14:paraId="06D2560D" w14:textId="77777777" w:rsidR="00834E59" w:rsidRPr="00834E59" w:rsidRDefault="00834E59">
            <w:pPr>
              <w:spacing w:line="240" w:lineRule="auto"/>
              <w:rPr>
                <w:rFonts w:asciiTheme="minorHAnsi" w:hAnsiTheme="minorHAnsi"/>
                <w:bCs/>
              </w:rPr>
            </w:pPr>
          </w:p>
        </w:tc>
        <w:tc>
          <w:tcPr>
            <w:tcW w:w="1894" w:type="dxa"/>
          </w:tcPr>
          <w:p w14:paraId="4E3BE6BF" w14:textId="77777777" w:rsidR="00834E59" w:rsidRDefault="00834E59">
            <w:pPr>
              <w:spacing w:line="240" w:lineRule="auto"/>
            </w:pPr>
          </w:p>
        </w:tc>
        <w:tc>
          <w:tcPr>
            <w:tcW w:w="4693" w:type="dxa"/>
          </w:tcPr>
          <w:p w14:paraId="6B1005CD" w14:textId="57F96A2F" w:rsidR="00834E59" w:rsidRDefault="00CE7AB8" w:rsidP="00AE7A3D">
            <w:pPr>
              <w:spacing w:line="240" w:lineRule="auto"/>
            </w:pPr>
            <w:r>
              <w:t>B. 13 and competency-based lab practical</w:t>
            </w:r>
          </w:p>
        </w:tc>
      </w:tr>
      <w:tr w:rsidR="00834E59" w14:paraId="596D3F93" w14:textId="77777777" w:rsidTr="00115A68">
        <w:tc>
          <w:tcPr>
            <w:tcW w:w="4429" w:type="dxa"/>
          </w:tcPr>
          <w:p w14:paraId="01AC103E" w14:textId="3132BFE9" w:rsidR="00834E59" w:rsidRPr="00CE7AB8" w:rsidRDefault="00834E59" w:rsidP="00CE7AB8">
            <w:pPr>
              <w:pStyle w:val="ListParagraph"/>
              <w:numPr>
                <w:ilvl w:val="0"/>
                <w:numId w:val="15"/>
              </w:numPr>
              <w:rPr>
                <w:rFonts w:asciiTheme="minorHAnsi" w:hAnsiTheme="minorHAnsi" w:cs="Arial"/>
                <w:bCs/>
                <w:color w:val="000000"/>
              </w:rPr>
            </w:pPr>
            <w:r w:rsidRPr="00CE7AB8">
              <w:rPr>
                <w:rFonts w:asciiTheme="minorHAnsi" w:hAnsiTheme="minorHAnsi" w:cs="Arial"/>
                <w:bCs/>
                <w:color w:val="000000"/>
              </w:rPr>
              <w:t xml:space="preserve">Explain the fermentation bioreaction designs (for example, </w:t>
            </w:r>
            <w:proofErr w:type="gramStart"/>
            <w:r w:rsidRPr="00CE7AB8">
              <w:rPr>
                <w:rFonts w:asciiTheme="minorHAnsi" w:hAnsiTheme="minorHAnsi" w:cs="Arial"/>
                <w:bCs/>
                <w:color w:val="000000"/>
              </w:rPr>
              <w:t>fed-batch</w:t>
            </w:r>
            <w:proofErr w:type="gramEnd"/>
            <w:r w:rsidRPr="00CE7AB8">
              <w:rPr>
                <w:rFonts w:asciiTheme="minorHAnsi" w:hAnsiTheme="minorHAnsi" w:cs="Arial"/>
                <w:bCs/>
                <w:color w:val="000000"/>
              </w:rPr>
              <w:t xml:space="preserve"> and continuous) and general operating constraints.</w:t>
            </w:r>
          </w:p>
          <w:p w14:paraId="5594E1BC" w14:textId="4CDBBB8A" w:rsidR="00834E59" w:rsidRPr="00CE7AB8" w:rsidRDefault="00834E59" w:rsidP="00CE7AB8">
            <w:pPr>
              <w:pStyle w:val="ListParagraph"/>
              <w:ind w:left="334"/>
              <w:rPr>
                <w:rFonts w:asciiTheme="minorHAnsi" w:hAnsiTheme="minorHAnsi" w:cs="Arial"/>
                <w:bCs/>
                <w:color w:val="000000"/>
              </w:rPr>
            </w:pPr>
          </w:p>
        </w:tc>
        <w:tc>
          <w:tcPr>
            <w:tcW w:w="1894" w:type="dxa"/>
          </w:tcPr>
          <w:p w14:paraId="4BA4C7C8" w14:textId="77777777" w:rsidR="00834E59" w:rsidRDefault="00834E59">
            <w:pPr>
              <w:spacing w:line="240" w:lineRule="auto"/>
            </w:pPr>
          </w:p>
        </w:tc>
        <w:tc>
          <w:tcPr>
            <w:tcW w:w="4693" w:type="dxa"/>
          </w:tcPr>
          <w:p w14:paraId="0B911F5F" w14:textId="386BEC3C" w:rsidR="00834E59" w:rsidRDefault="00CE7AB8" w:rsidP="00AE7A3D">
            <w:pPr>
              <w:spacing w:line="240" w:lineRule="auto"/>
            </w:pPr>
            <w:r>
              <w:t>B.13</w:t>
            </w:r>
          </w:p>
        </w:tc>
      </w:tr>
      <w:tr w:rsidR="00834E59" w14:paraId="3E17DB65" w14:textId="77777777" w:rsidTr="00115A68">
        <w:tc>
          <w:tcPr>
            <w:tcW w:w="4429" w:type="dxa"/>
          </w:tcPr>
          <w:p w14:paraId="76C8FDB6" w14:textId="4A90EA38" w:rsidR="00CE7AB8" w:rsidRPr="00CE7AB8" w:rsidRDefault="00834E59" w:rsidP="00CE7AB8">
            <w:pPr>
              <w:pStyle w:val="ListParagraph"/>
              <w:numPr>
                <w:ilvl w:val="0"/>
                <w:numId w:val="15"/>
              </w:numPr>
              <w:rPr>
                <w:rFonts w:asciiTheme="minorHAnsi" w:hAnsiTheme="minorHAnsi" w:cs="Arial"/>
                <w:bCs/>
                <w:color w:val="000000"/>
              </w:rPr>
            </w:pPr>
            <w:r w:rsidRPr="00CE7AB8">
              <w:rPr>
                <w:rFonts w:asciiTheme="minorHAnsi" w:hAnsiTheme="minorHAnsi" w:cs="Arial"/>
                <w:bCs/>
                <w:color w:val="000000"/>
              </w:rPr>
              <w:lastRenderedPageBreak/>
              <w:t xml:space="preserve">Describe and </w:t>
            </w:r>
            <w:r w:rsidR="00CE7AB8">
              <w:rPr>
                <w:rFonts w:asciiTheme="minorHAnsi" w:hAnsiTheme="minorHAnsi" w:cs="Arial"/>
                <w:bCs/>
                <w:color w:val="000000"/>
              </w:rPr>
              <w:t xml:space="preserve">perform </w:t>
            </w:r>
            <w:r w:rsidRPr="00CE7AB8">
              <w:rPr>
                <w:rFonts w:asciiTheme="minorHAnsi" w:hAnsiTheme="minorHAnsi" w:cs="Arial"/>
                <w:bCs/>
                <w:color w:val="000000"/>
              </w:rPr>
              <w:t xml:space="preserve">protein expression </w:t>
            </w:r>
            <w:r w:rsidR="00CE7AB8">
              <w:rPr>
                <w:rFonts w:asciiTheme="minorHAnsi" w:hAnsiTheme="minorHAnsi" w:cs="Arial"/>
                <w:bCs/>
                <w:color w:val="000000"/>
              </w:rPr>
              <w:t>assays in cell-based system</w:t>
            </w:r>
            <w:r w:rsidRPr="00CE7AB8">
              <w:rPr>
                <w:rFonts w:asciiTheme="minorHAnsi" w:hAnsiTheme="minorHAnsi" w:cs="Arial"/>
                <w:bCs/>
                <w:color w:val="000000"/>
              </w:rPr>
              <w:t xml:space="preserve">.  </w:t>
            </w:r>
          </w:p>
          <w:p w14:paraId="7FE637E6" w14:textId="0B8705FF" w:rsidR="00834E59" w:rsidRPr="00834E59" w:rsidRDefault="00834E59" w:rsidP="00CE7AB8">
            <w:pPr>
              <w:rPr>
                <w:rFonts w:asciiTheme="minorHAnsi" w:hAnsiTheme="minorHAnsi" w:cs="Arial"/>
                <w:bCs/>
                <w:color w:val="000000"/>
              </w:rPr>
            </w:pPr>
            <w:r w:rsidRPr="00834E59">
              <w:rPr>
                <w:rFonts w:asciiTheme="minorHAnsi" w:hAnsiTheme="minorHAnsi" w:cs="Arial"/>
                <w:bCs/>
                <w:color w:val="000000"/>
              </w:rPr>
              <w:tab/>
            </w:r>
          </w:p>
        </w:tc>
        <w:tc>
          <w:tcPr>
            <w:tcW w:w="1894" w:type="dxa"/>
          </w:tcPr>
          <w:p w14:paraId="3DFB6D23" w14:textId="213E90DE" w:rsidR="00834E59" w:rsidRPr="00834E59" w:rsidRDefault="00834E59">
            <w:pPr>
              <w:spacing w:line="240" w:lineRule="auto"/>
              <w:rPr>
                <w:b/>
                <w:bCs/>
              </w:rPr>
            </w:pPr>
          </w:p>
        </w:tc>
        <w:tc>
          <w:tcPr>
            <w:tcW w:w="4693" w:type="dxa"/>
          </w:tcPr>
          <w:p w14:paraId="7196B7D8" w14:textId="223CDE52" w:rsidR="00834E59" w:rsidRDefault="00CE7AB8" w:rsidP="00AE7A3D">
            <w:pPr>
              <w:spacing w:line="240" w:lineRule="auto"/>
            </w:pPr>
            <w:r>
              <w:t>B.13, competency-based lab practical, multi-part lab report, and presentation.</w:t>
            </w:r>
          </w:p>
        </w:tc>
      </w:tr>
      <w:tr w:rsidR="00834E59" w14:paraId="5F2AA88E" w14:textId="77777777" w:rsidTr="00115A68">
        <w:tc>
          <w:tcPr>
            <w:tcW w:w="4429" w:type="dxa"/>
          </w:tcPr>
          <w:p w14:paraId="39AA6793" w14:textId="070D10D5" w:rsidR="00834E59" w:rsidRPr="00CE7AB8" w:rsidRDefault="00834E59" w:rsidP="00CE7AB8">
            <w:pPr>
              <w:pStyle w:val="ListParagraph"/>
              <w:numPr>
                <w:ilvl w:val="0"/>
                <w:numId w:val="15"/>
              </w:numPr>
              <w:rPr>
                <w:rFonts w:asciiTheme="minorHAnsi" w:hAnsiTheme="minorHAnsi" w:cs="Arial"/>
                <w:color w:val="000000"/>
              </w:rPr>
            </w:pPr>
            <w:r w:rsidRPr="00CE7AB8">
              <w:rPr>
                <w:rFonts w:asciiTheme="minorHAnsi" w:hAnsiTheme="minorHAnsi" w:cs="Arial"/>
                <w:color w:val="000000"/>
              </w:rPr>
              <w:t xml:space="preserve">Describe </w:t>
            </w:r>
            <w:r w:rsidR="00CE7AB8">
              <w:rPr>
                <w:rFonts w:asciiTheme="minorHAnsi" w:hAnsiTheme="minorHAnsi" w:cs="Arial"/>
                <w:color w:val="000000"/>
              </w:rPr>
              <w:t xml:space="preserve">and perform </w:t>
            </w:r>
            <w:r w:rsidRPr="00CE7AB8">
              <w:rPr>
                <w:rFonts w:asciiTheme="minorHAnsi" w:hAnsiTheme="minorHAnsi" w:cs="Arial"/>
                <w:color w:val="000000"/>
              </w:rPr>
              <w:t>protein purification techniques used in manufacturing.</w:t>
            </w:r>
          </w:p>
        </w:tc>
        <w:tc>
          <w:tcPr>
            <w:tcW w:w="1894" w:type="dxa"/>
          </w:tcPr>
          <w:p w14:paraId="59545109" w14:textId="77777777" w:rsidR="00834E59" w:rsidRPr="00834E59" w:rsidRDefault="00834E59">
            <w:pPr>
              <w:spacing w:line="240" w:lineRule="auto"/>
              <w:rPr>
                <w:b/>
                <w:bCs/>
                <w:color w:val="4F6228" w:themeColor="accent3" w:themeShade="80"/>
              </w:rPr>
            </w:pPr>
          </w:p>
        </w:tc>
        <w:tc>
          <w:tcPr>
            <w:tcW w:w="4693" w:type="dxa"/>
          </w:tcPr>
          <w:p w14:paraId="12B5AFEC" w14:textId="0DEBAEE6" w:rsidR="00834E59" w:rsidRDefault="00CE7AB8" w:rsidP="00AE7A3D">
            <w:pPr>
              <w:spacing w:line="240" w:lineRule="auto"/>
            </w:pPr>
            <w:r>
              <w:t>B.13, competency-based lab practical, multi-part lab report, and presentation.</w:t>
            </w:r>
          </w:p>
        </w:tc>
      </w:tr>
      <w:tr w:rsidR="00834E59" w14:paraId="3C66F777" w14:textId="77777777" w:rsidTr="00115A68">
        <w:tc>
          <w:tcPr>
            <w:tcW w:w="4429" w:type="dxa"/>
          </w:tcPr>
          <w:p w14:paraId="0635E6F0" w14:textId="5255342F" w:rsidR="00834E59" w:rsidRPr="00CE7AB8" w:rsidRDefault="00834E59" w:rsidP="00CE7AB8">
            <w:pPr>
              <w:pStyle w:val="ListParagraph"/>
              <w:numPr>
                <w:ilvl w:val="0"/>
                <w:numId w:val="15"/>
              </w:numPr>
              <w:rPr>
                <w:rFonts w:asciiTheme="minorHAnsi" w:hAnsiTheme="minorHAnsi" w:cs="Arial"/>
                <w:color w:val="000000"/>
              </w:rPr>
            </w:pPr>
            <w:r w:rsidRPr="00CE7AB8">
              <w:rPr>
                <w:rFonts w:asciiTheme="minorHAnsi" w:hAnsiTheme="minorHAnsi" w:cs="Arial"/>
                <w:color w:val="000000"/>
              </w:rPr>
              <w:t xml:space="preserve">Describe </w:t>
            </w:r>
            <w:r w:rsidR="00CE7AB8">
              <w:rPr>
                <w:rFonts w:asciiTheme="minorHAnsi" w:hAnsiTheme="minorHAnsi" w:cs="Arial"/>
                <w:color w:val="000000"/>
              </w:rPr>
              <w:t xml:space="preserve">and perform </w:t>
            </w:r>
            <w:r w:rsidRPr="00CE7AB8">
              <w:rPr>
                <w:rFonts w:asciiTheme="minorHAnsi" w:hAnsiTheme="minorHAnsi" w:cs="Arial"/>
                <w:color w:val="000000"/>
              </w:rPr>
              <w:t>analytical methods used to quantify protein levels and purity.</w:t>
            </w:r>
          </w:p>
        </w:tc>
        <w:tc>
          <w:tcPr>
            <w:tcW w:w="1894" w:type="dxa"/>
          </w:tcPr>
          <w:p w14:paraId="5CE92614" w14:textId="77777777" w:rsidR="00834E59" w:rsidRPr="00834E59" w:rsidRDefault="00834E59">
            <w:pPr>
              <w:spacing w:line="240" w:lineRule="auto"/>
              <w:rPr>
                <w:b/>
                <w:bCs/>
                <w:color w:val="4F6228" w:themeColor="accent3" w:themeShade="80"/>
              </w:rPr>
            </w:pPr>
          </w:p>
        </w:tc>
        <w:tc>
          <w:tcPr>
            <w:tcW w:w="4693" w:type="dxa"/>
          </w:tcPr>
          <w:p w14:paraId="7766C380" w14:textId="6900728C" w:rsidR="00834E59" w:rsidRDefault="00CE7AB8" w:rsidP="00AE7A3D">
            <w:pPr>
              <w:spacing w:line="240" w:lineRule="auto"/>
            </w:pPr>
            <w:r>
              <w:t>B.13, competency-based lab practical, multi-part lab report, presentation.</w:t>
            </w:r>
          </w:p>
        </w:tc>
      </w:tr>
      <w:tr w:rsidR="00834E59" w14:paraId="641DF954" w14:textId="77777777" w:rsidTr="00115A68">
        <w:tc>
          <w:tcPr>
            <w:tcW w:w="4429" w:type="dxa"/>
          </w:tcPr>
          <w:p w14:paraId="118CAE9C" w14:textId="4468160E" w:rsidR="00834E59" w:rsidRPr="00CE7AB8" w:rsidRDefault="00834E59" w:rsidP="00CE7AB8">
            <w:pPr>
              <w:pStyle w:val="ListParagraph"/>
              <w:numPr>
                <w:ilvl w:val="0"/>
                <w:numId w:val="15"/>
              </w:numPr>
              <w:rPr>
                <w:rFonts w:asciiTheme="minorHAnsi" w:hAnsiTheme="minorHAnsi" w:cs="Arial"/>
                <w:color w:val="000000"/>
              </w:rPr>
            </w:pPr>
            <w:r w:rsidRPr="00CE7AB8">
              <w:rPr>
                <w:rFonts w:asciiTheme="minorHAnsi" w:hAnsiTheme="minorHAnsi" w:cs="Arial"/>
                <w:color w:val="000000"/>
              </w:rPr>
              <w:t>Demonstrate bioreactor use for protein production.</w:t>
            </w:r>
          </w:p>
          <w:p w14:paraId="0381BC49" w14:textId="77777777" w:rsidR="00834E59" w:rsidRPr="00834E59" w:rsidRDefault="00834E59" w:rsidP="00834E59">
            <w:pPr>
              <w:rPr>
                <w:rFonts w:asciiTheme="minorHAnsi" w:hAnsiTheme="minorHAnsi" w:cs="Arial"/>
                <w:color w:val="000000"/>
              </w:rPr>
            </w:pPr>
          </w:p>
        </w:tc>
        <w:tc>
          <w:tcPr>
            <w:tcW w:w="1894" w:type="dxa"/>
          </w:tcPr>
          <w:p w14:paraId="2320DE04" w14:textId="78CBC0AA" w:rsidR="00834E59" w:rsidRPr="00834E59" w:rsidRDefault="00834E59">
            <w:pPr>
              <w:spacing w:line="240" w:lineRule="auto"/>
              <w:rPr>
                <w:b/>
                <w:bCs/>
                <w:color w:val="4F6228" w:themeColor="accent3" w:themeShade="80"/>
              </w:rPr>
            </w:pPr>
          </w:p>
        </w:tc>
        <w:tc>
          <w:tcPr>
            <w:tcW w:w="4693" w:type="dxa"/>
          </w:tcPr>
          <w:p w14:paraId="3EF1FA59" w14:textId="3FACBBED" w:rsidR="00834E59" w:rsidRDefault="00CE7AB8" w:rsidP="00AE7A3D">
            <w:pPr>
              <w:spacing w:line="240" w:lineRule="auto"/>
            </w:pPr>
            <w:r>
              <w:t>Competency-based lab practical.</w:t>
            </w:r>
          </w:p>
        </w:tc>
      </w:tr>
      <w:tr w:rsidR="00834E59" w14:paraId="14476C48" w14:textId="77777777" w:rsidTr="00115A68">
        <w:tc>
          <w:tcPr>
            <w:tcW w:w="4429" w:type="dxa"/>
          </w:tcPr>
          <w:p w14:paraId="2BAA78E5" w14:textId="6718FB28" w:rsidR="00834E59" w:rsidRPr="00CE7AB8" w:rsidRDefault="00834E59" w:rsidP="00CE7AB8">
            <w:pPr>
              <w:pStyle w:val="ListParagraph"/>
              <w:numPr>
                <w:ilvl w:val="0"/>
                <w:numId w:val="15"/>
              </w:numPr>
              <w:rPr>
                <w:rFonts w:asciiTheme="minorHAnsi" w:hAnsiTheme="minorHAnsi" w:cs="Arial"/>
                <w:color w:val="000000"/>
              </w:rPr>
            </w:pPr>
            <w:r w:rsidRPr="00CE7AB8">
              <w:rPr>
                <w:rFonts w:asciiTheme="minorHAnsi" w:hAnsiTheme="minorHAnsi" w:cs="Arial"/>
                <w:color w:val="000000"/>
              </w:rPr>
              <w:t>Describe packaging and stability testing.</w:t>
            </w:r>
          </w:p>
        </w:tc>
        <w:tc>
          <w:tcPr>
            <w:tcW w:w="1894" w:type="dxa"/>
          </w:tcPr>
          <w:p w14:paraId="45ECBED6" w14:textId="77777777" w:rsidR="00834E59" w:rsidRPr="00834E59" w:rsidRDefault="00834E59">
            <w:pPr>
              <w:spacing w:line="240" w:lineRule="auto"/>
              <w:rPr>
                <w:b/>
                <w:bCs/>
                <w:color w:val="4F6228" w:themeColor="accent3" w:themeShade="80"/>
              </w:rPr>
            </w:pPr>
          </w:p>
        </w:tc>
        <w:tc>
          <w:tcPr>
            <w:tcW w:w="4693" w:type="dxa"/>
          </w:tcPr>
          <w:p w14:paraId="2661E2D2" w14:textId="03D865C7" w:rsidR="00834E59" w:rsidRDefault="00CE7AB8" w:rsidP="00AE7A3D">
            <w:pPr>
              <w:spacing w:line="240" w:lineRule="auto"/>
            </w:pPr>
            <w:r>
              <w:t>B.13</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0018C94B" w14:textId="1FC5484E" w:rsidR="00F64260" w:rsidRDefault="00785744" w:rsidP="000556B3">
            <w:pPr>
              <w:pStyle w:val="ListParagraph"/>
              <w:numPr>
                <w:ilvl w:val="0"/>
                <w:numId w:val="8"/>
              </w:numPr>
              <w:spacing w:line="240" w:lineRule="auto"/>
            </w:pPr>
            <w:bookmarkStart w:id="27" w:name="outline"/>
            <w:bookmarkEnd w:id="27"/>
            <w:r>
              <w:t>Regulatory framework for the manufacturing of biologic drugs</w:t>
            </w:r>
          </w:p>
          <w:p w14:paraId="6E7396F9" w14:textId="195C7790" w:rsidR="00CE7AB8" w:rsidRDefault="00CE7AB8" w:rsidP="000556B3">
            <w:pPr>
              <w:pStyle w:val="ListParagraph"/>
              <w:numPr>
                <w:ilvl w:val="0"/>
                <w:numId w:val="8"/>
              </w:numPr>
              <w:spacing w:line="240" w:lineRule="auto"/>
            </w:pPr>
            <w:r>
              <w:t>In vivo protein expression systems</w:t>
            </w:r>
          </w:p>
          <w:p w14:paraId="05EF6A73" w14:textId="591F2694" w:rsidR="005E2D3D" w:rsidRDefault="00785744" w:rsidP="00CE7AB8">
            <w:pPr>
              <w:pStyle w:val="ListParagraph"/>
              <w:numPr>
                <w:ilvl w:val="1"/>
                <w:numId w:val="8"/>
              </w:numPr>
              <w:spacing w:line="240" w:lineRule="auto"/>
            </w:pPr>
            <w:r>
              <w:t>Cell culture</w:t>
            </w:r>
          </w:p>
          <w:p w14:paraId="04B435F4" w14:textId="4885EC9C" w:rsidR="005E2D3D" w:rsidRDefault="00785744" w:rsidP="005E2D3D">
            <w:pPr>
              <w:pStyle w:val="ListParagraph"/>
              <w:numPr>
                <w:ilvl w:val="1"/>
                <w:numId w:val="8"/>
              </w:numPr>
              <w:spacing w:line="240" w:lineRule="auto"/>
            </w:pPr>
            <w:r>
              <w:t>Cell line generation</w:t>
            </w:r>
          </w:p>
          <w:p w14:paraId="5BEA8689" w14:textId="77777777" w:rsidR="005E2D3D" w:rsidRDefault="00785744" w:rsidP="005E2D3D">
            <w:pPr>
              <w:pStyle w:val="ListParagraph"/>
              <w:numPr>
                <w:ilvl w:val="1"/>
                <w:numId w:val="8"/>
              </w:numPr>
              <w:spacing w:line="240" w:lineRule="auto"/>
            </w:pPr>
            <w:r>
              <w:t>Primary cell culture</w:t>
            </w:r>
          </w:p>
          <w:p w14:paraId="5E1CE7BB" w14:textId="0B639BD1" w:rsidR="00785744" w:rsidRDefault="00785744" w:rsidP="005E2D3D">
            <w:pPr>
              <w:pStyle w:val="ListParagraph"/>
              <w:numPr>
                <w:ilvl w:val="1"/>
                <w:numId w:val="8"/>
              </w:numPr>
              <w:spacing w:line="240" w:lineRule="auto"/>
            </w:pPr>
            <w:r>
              <w:t>Growth constraints (adherent, non-adherent, contact inhibition)</w:t>
            </w:r>
          </w:p>
          <w:p w14:paraId="44203FF2" w14:textId="57235763" w:rsidR="00CE7AB8" w:rsidRDefault="00CE7AB8" w:rsidP="00CE7AB8">
            <w:pPr>
              <w:pStyle w:val="ListParagraph"/>
              <w:numPr>
                <w:ilvl w:val="1"/>
                <w:numId w:val="8"/>
              </w:numPr>
              <w:spacing w:line="240" w:lineRule="auto"/>
            </w:pPr>
            <w:r>
              <w:t>Cell culture kinetics</w:t>
            </w:r>
          </w:p>
          <w:p w14:paraId="63E898B2" w14:textId="000C214D" w:rsidR="00C47FB5" w:rsidRDefault="00C47FB5" w:rsidP="00CE7AB8">
            <w:pPr>
              <w:pStyle w:val="ListParagraph"/>
              <w:numPr>
                <w:ilvl w:val="1"/>
                <w:numId w:val="8"/>
              </w:numPr>
              <w:spacing w:line="240" w:lineRule="auto"/>
            </w:pPr>
            <w:r>
              <w:t>Recombinant cell lines</w:t>
            </w:r>
          </w:p>
          <w:p w14:paraId="04B3B1D7" w14:textId="197A78FF" w:rsidR="00C47FB5" w:rsidRDefault="00C47FB5" w:rsidP="00C47FB5">
            <w:pPr>
              <w:pStyle w:val="ListParagraph"/>
              <w:numPr>
                <w:ilvl w:val="0"/>
                <w:numId w:val="8"/>
              </w:numPr>
              <w:spacing w:line="240" w:lineRule="auto"/>
            </w:pPr>
            <w:r>
              <w:t xml:space="preserve">Protein purification </w:t>
            </w:r>
            <w:r w:rsidR="00CE7AB8">
              <w:t>and activity</w:t>
            </w:r>
          </w:p>
          <w:p w14:paraId="1E74915C" w14:textId="07C95BB8" w:rsidR="00C47FB5" w:rsidRDefault="00C47FB5" w:rsidP="00CE7AB8">
            <w:pPr>
              <w:pStyle w:val="ListParagraph"/>
              <w:numPr>
                <w:ilvl w:val="1"/>
                <w:numId w:val="8"/>
              </w:numPr>
              <w:spacing w:line="240" w:lineRule="auto"/>
            </w:pPr>
            <w:r>
              <w:t xml:space="preserve">Validation assays </w:t>
            </w:r>
          </w:p>
          <w:p w14:paraId="52D05997" w14:textId="0955471F" w:rsidR="00CE7AB8" w:rsidRDefault="00CE7AB8" w:rsidP="00CE7AB8">
            <w:pPr>
              <w:pStyle w:val="ListParagraph"/>
              <w:numPr>
                <w:ilvl w:val="1"/>
                <w:numId w:val="8"/>
              </w:numPr>
              <w:spacing w:line="240" w:lineRule="auto"/>
            </w:pPr>
            <w:r>
              <w:t>Analytical methods</w:t>
            </w:r>
          </w:p>
          <w:p w14:paraId="507243EF" w14:textId="6415BA10" w:rsidR="00CE7AB8" w:rsidRDefault="00CE7AB8" w:rsidP="00CE7AB8">
            <w:pPr>
              <w:pStyle w:val="ListParagraph"/>
              <w:numPr>
                <w:ilvl w:val="1"/>
                <w:numId w:val="8"/>
              </w:numPr>
              <w:spacing w:line="240" w:lineRule="auto"/>
            </w:pPr>
            <w:r>
              <w:t>Purification techniques</w:t>
            </w:r>
          </w:p>
          <w:p w14:paraId="1AFA27DB" w14:textId="4DCAFB99" w:rsidR="00CE7AB8" w:rsidRDefault="00CE7AB8" w:rsidP="00C47FB5">
            <w:pPr>
              <w:pStyle w:val="ListParagraph"/>
              <w:numPr>
                <w:ilvl w:val="0"/>
                <w:numId w:val="8"/>
              </w:numPr>
              <w:spacing w:line="240" w:lineRule="auto"/>
            </w:pPr>
            <w:r>
              <w:t>Protein scale-up and production</w:t>
            </w:r>
          </w:p>
          <w:p w14:paraId="030114FA" w14:textId="308FE2BD" w:rsidR="00C47FB5" w:rsidRDefault="00C47FB5" w:rsidP="00CE7AB8">
            <w:pPr>
              <w:pStyle w:val="ListParagraph"/>
              <w:numPr>
                <w:ilvl w:val="1"/>
                <w:numId w:val="8"/>
              </w:numPr>
              <w:spacing w:line="240" w:lineRule="auto"/>
            </w:pPr>
            <w:r>
              <w:t>Bioreactors used for manufacturing</w:t>
            </w:r>
          </w:p>
          <w:p w14:paraId="51E7F06A" w14:textId="125C4B9D" w:rsidR="00C47FB5" w:rsidRDefault="00C47FB5" w:rsidP="00CE7AB8">
            <w:pPr>
              <w:pStyle w:val="ListParagraph"/>
              <w:numPr>
                <w:ilvl w:val="1"/>
                <w:numId w:val="8"/>
              </w:numPr>
              <w:spacing w:line="240" w:lineRule="auto"/>
            </w:pPr>
            <w:r>
              <w:t>Bioprocess optimization procedures and models</w:t>
            </w:r>
          </w:p>
          <w:p w14:paraId="58153442" w14:textId="60026428" w:rsidR="00C47FB5" w:rsidRDefault="00C47FB5" w:rsidP="00CE7AB8">
            <w:pPr>
              <w:pStyle w:val="ListParagraph"/>
              <w:numPr>
                <w:ilvl w:val="1"/>
                <w:numId w:val="8"/>
              </w:numPr>
              <w:spacing w:line="240" w:lineRule="auto"/>
            </w:pPr>
            <w:r>
              <w:t xml:space="preserve">Fed-batch </w:t>
            </w:r>
            <w:r w:rsidR="00CE7AB8">
              <w:t xml:space="preserve">vs. continuous </w:t>
            </w:r>
            <w:r>
              <w:t>cell culture</w:t>
            </w:r>
          </w:p>
          <w:p w14:paraId="1E6BA456" w14:textId="7F4A28DD" w:rsidR="00C47FB5" w:rsidRDefault="00C47FB5" w:rsidP="00CE7AB8">
            <w:pPr>
              <w:pStyle w:val="ListParagraph"/>
              <w:numPr>
                <w:ilvl w:val="1"/>
                <w:numId w:val="8"/>
              </w:numPr>
              <w:spacing w:line="240" w:lineRule="auto"/>
            </w:pPr>
            <w:r>
              <w:t>Workflow development and GMP manufacturing</w:t>
            </w:r>
          </w:p>
          <w:p w14:paraId="5B0E940E" w14:textId="7E82DE7E" w:rsidR="00C47FB5" w:rsidRDefault="00C47FB5" w:rsidP="00CE7AB8">
            <w:pPr>
              <w:pStyle w:val="ListParagraph"/>
              <w:numPr>
                <w:ilvl w:val="1"/>
                <w:numId w:val="8"/>
              </w:numPr>
              <w:spacing w:line="240" w:lineRule="auto"/>
            </w:pPr>
            <w:r>
              <w:t>Quality control and testing</w:t>
            </w:r>
          </w:p>
          <w:p w14:paraId="7D9E7BFC" w14:textId="56C9356F" w:rsidR="00C47FB5" w:rsidRDefault="00C47FB5" w:rsidP="00CE7AB8">
            <w:pPr>
              <w:pStyle w:val="ListParagraph"/>
              <w:numPr>
                <w:ilvl w:val="1"/>
                <w:numId w:val="8"/>
              </w:numPr>
              <w:spacing w:line="240" w:lineRule="auto"/>
            </w:pPr>
            <w:r>
              <w:t>Batch uniformity constraints</w:t>
            </w:r>
          </w:p>
          <w:p w14:paraId="0013DA8A" w14:textId="77D2D39F" w:rsidR="00CE7AB8" w:rsidRDefault="00CE7AB8" w:rsidP="00CE7AB8">
            <w:pPr>
              <w:pStyle w:val="ListParagraph"/>
              <w:numPr>
                <w:ilvl w:val="0"/>
                <w:numId w:val="8"/>
              </w:numPr>
              <w:spacing w:line="240" w:lineRule="auto"/>
            </w:pPr>
            <w:r>
              <w:t>Drug finishing</w:t>
            </w:r>
          </w:p>
          <w:p w14:paraId="46073571" w14:textId="77777777" w:rsidR="00CE7AB8" w:rsidRDefault="00C47FB5" w:rsidP="00CE7AB8">
            <w:pPr>
              <w:pStyle w:val="ListParagraph"/>
              <w:numPr>
                <w:ilvl w:val="1"/>
                <w:numId w:val="8"/>
              </w:numPr>
              <w:spacing w:line="240" w:lineRule="auto"/>
            </w:pPr>
            <w:r>
              <w:t>Drug delivery systems</w:t>
            </w:r>
          </w:p>
          <w:p w14:paraId="653577D7" w14:textId="7DD6F971" w:rsidR="00C47FB5" w:rsidRDefault="00CE7AB8" w:rsidP="00CE7AB8">
            <w:pPr>
              <w:pStyle w:val="ListParagraph"/>
              <w:numPr>
                <w:ilvl w:val="1"/>
                <w:numId w:val="8"/>
              </w:numPr>
              <w:spacing w:line="240" w:lineRule="auto"/>
            </w:pPr>
            <w:r>
              <w:t xml:space="preserve">Drug </w:t>
            </w:r>
            <w:r w:rsidR="00C47FB5">
              <w:t>formulation</w:t>
            </w:r>
          </w:p>
          <w:p w14:paraId="2BC49B21" w14:textId="35BF59A2" w:rsidR="00C47FB5" w:rsidRDefault="00C47FB5" w:rsidP="00CE7AB8">
            <w:pPr>
              <w:pStyle w:val="ListParagraph"/>
              <w:numPr>
                <w:ilvl w:val="1"/>
                <w:numId w:val="8"/>
              </w:numPr>
              <w:spacing w:line="240" w:lineRule="auto"/>
            </w:pPr>
            <w:r>
              <w:t>Stability testing: real-time and forced degra</w:t>
            </w:r>
            <w:r w:rsidR="00CE7AB8">
              <w:t>da</w:t>
            </w:r>
            <w:r>
              <w:t>tion studies</w:t>
            </w:r>
          </w:p>
          <w:p w14:paraId="6B2C7A47" w14:textId="7E8D7AE9" w:rsidR="00785744" w:rsidRDefault="00785744" w:rsidP="00C47FB5">
            <w:pPr>
              <w:spacing w:line="240" w:lineRule="auto"/>
            </w:pP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lastRenderedPageBreak/>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0"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64"/>
        <w:gridCol w:w="3225"/>
        <w:gridCol w:w="3100"/>
        <w:gridCol w:w="1391"/>
      </w:tblGrid>
      <w:tr w:rsidR="00115A68" w:rsidRPr="00402602" w14:paraId="67436BB2" w14:textId="77777777" w:rsidTr="00ED32F5">
        <w:trPr>
          <w:cantSplit/>
          <w:tblHeader/>
        </w:trPr>
        <w:tc>
          <w:tcPr>
            <w:tcW w:w="3064" w:type="dxa"/>
            <w:vAlign w:val="center"/>
          </w:tcPr>
          <w:p w14:paraId="739386E3" w14:textId="77777777" w:rsidR="00115A68" w:rsidRPr="00A83A6C" w:rsidRDefault="00115A68" w:rsidP="0015571B">
            <w:pPr>
              <w:pStyle w:val="Heading5"/>
              <w:jc w:val="center"/>
            </w:pPr>
            <w:r w:rsidRPr="00A83A6C">
              <w:t>Name</w:t>
            </w:r>
          </w:p>
        </w:tc>
        <w:tc>
          <w:tcPr>
            <w:tcW w:w="3225"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0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391"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ED32F5">
        <w:trPr>
          <w:cantSplit/>
          <w:trHeight w:val="489"/>
        </w:trPr>
        <w:tc>
          <w:tcPr>
            <w:tcW w:w="3064" w:type="dxa"/>
            <w:vAlign w:val="center"/>
          </w:tcPr>
          <w:p w14:paraId="2B0991B7" w14:textId="3E5D11E5" w:rsidR="00115A68" w:rsidRDefault="00672B06" w:rsidP="0015571B">
            <w:pPr>
              <w:spacing w:line="240" w:lineRule="auto"/>
            </w:pPr>
            <w:r>
              <w:t>Earl Simson</w:t>
            </w:r>
          </w:p>
        </w:tc>
        <w:tc>
          <w:tcPr>
            <w:tcW w:w="3225" w:type="dxa"/>
            <w:vAlign w:val="center"/>
          </w:tcPr>
          <w:p w14:paraId="2927DBCB" w14:textId="642952C3" w:rsidR="00115A68" w:rsidRDefault="00672B06" w:rsidP="0015571B">
            <w:pPr>
              <w:spacing w:line="240" w:lineRule="auto"/>
            </w:pPr>
            <w:r>
              <w:t>Dean</w:t>
            </w:r>
            <w:r w:rsidR="00115A68">
              <w:t xml:space="preserve"> of </w:t>
            </w:r>
            <w:r>
              <w:t>FAS</w:t>
            </w:r>
          </w:p>
        </w:tc>
        <w:tc>
          <w:tcPr>
            <w:tcW w:w="3100" w:type="dxa"/>
            <w:vAlign w:val="center"/>
          </w:tcPr>
          <w:p w14:paraId="7927CB11" w14:textId="09FFB962" w:rsidR="00115A68" w:rsidRDefault="00CD6B80" w:rsidP="0015571B">
            <w:pPr>
              <w:spacing w:line="240" w:lineRule="auto"/>
            </w:pPr>
            <w:r>
              <w:t>*</w:t>
            </w:r>
            <w:proofErr w:type="gramStart"/>
            <w:r>
              <w:t>approved</w:t>
            </w:r>
            <w:proofErr w:type="gramEnd"/>
            <w:r>
              <w:t xml:space="preserve"> by email</w:t>
            </w:r>
          </w:p>
        </w:tc>
        <w:tc>
          <w:tcPr>
            <w:tcW w:w="1391" w:type="dxa"/>
            <w:vAlign w:val="center"/>
          </w:tcPr>
          <w:p w14:paraId="06A64098" w14:textId="4EBC19F1" w:rsidR="00115A68" w:rsidRDefault="00CD6B80" w:rsidP="0015571B">
            <w:pPr>
              <w:spacing w:line="240" w:lineRule="auto"/>
            </w:pPr>
            <w:r>
              <w:t>2/24/2023</w:t>
            </w:r>
          </w:p>
        </w:tc>
      </w:tr>
      <w:tr w:rsidR="00B25460" w14:paraId="52D598D5" w14:textId="77777777" w:rsidTr="00A5157B">
        <w:trPr>
          <w:cantSplit/>
          <w:trHeight w:val="489"/>
        </w:trPr>
        <w:tc>
          <w:tcPr>
            <w:tcW w:w="3064" w:type="dxa"/>
            <w:vAlign w:val="center"/>
          </w:tcPr>
          <w:p w14:paraId="7719C5EC" w14:textId="77777777" w:rsidR="00B25460" w:rsidRDefault="00B25460" w:rsidP="00A5157B">
            <w:pPr>
              <w:spacing w:line="240" w:lineRule="auto"/>
            </w:pPr>
            <w:r>
              <w:t xml:space="preserve">Dana </w:t>
            </w:r>
            <w:proofErr w:type="spellStart"/>
            <w:r>
              <w:t>Kolibachuk</w:t>
            </w:r>
            <w:proofErr w:type="spellEnd"/>
          </w:p>
        </w:tc>
        <w:tc>
          <w:tcPr>
            <w:tcW w:w="3225" w:type="dxa"/>
            <w:vAlign w:val="center"/>
          </w:tcPr>
          <w:p w14:paraId="32CAE892" w14:textId="77777777" w:rsidR="00B25460" w:rsidRDefault="00B25460" w:rsidP="00A5157B">
            <w:pPr>
              <w:spacing w:line="240" w:lineRule="auto"/>
            </w:pPr>
            <w:r>
              <w:t>Chair of Biology</w:t>
            </w:r>
          </w:p>
        </w:tc>
        <w:tc>
          <w:tcPr>
            <w:tcW w:w="3100" w:type="dxa"/>
            <w:vAlign w:val="center"/>
          </w:tcPr>
          <w:p w14:paraId="2D48EA01" w14:textId="77777777" w:rsidR="00B25460" w:rsidRDefault="00B25460" w:rsidP="00A5157B">
            <w:pPr>
              <w:spacing w:line="240" w:lineRule="auto"/>
            </w:pPr>
            <w:r>
              <w:t>*</w:t>
            </w:r>
            <w:proofErr w:type="gramStart"/>
            <w:r>
              <w:t>approved</w:t>
            </w:r>
            <w:proofErr w:type="gramEnd"/>
            <w:r>
              <w:t xml:space="preserve"> by email</w:t>
            </w:r>
          </w:p>
        </w:tc>
        <w:tc>
          <w:tcPr>
            <w:tcW w:w="1391" w:type="dxa"/>
            <w:vAlign w:val="center"/>
          </w:tcPr>
          <w:p w14:paraId="6145EE58" w14:textId="77777777" w:rsidR="00B25460" w:rsidRDefault="00B25460" w:rsidP="00A5157B">
            <w:pPr>
              <w:spacing w:line="240" w:lineRule="auto"/>
            </w:pPr>
            <w:r>
              <w:t>2/24/2023</w:t>
            </w:r>
          </w:p>
        </w:tc>
      </w:tr>
      <w:tr w:rsidR="00ED32F5" w14:paraId="3D608653" w14:textId="77777777" w:rsidTr="00ED32F5">
        <w:trPr>
          <w:cantSplit/>
          <w:trHeight w:val="489"/>
        </w:trPr>
        <w:tc>
          <w:tcPr>
            <w:tcW w:w="3064" w:type="dxa"/>
            <w:vAlign w:val="center"/>
          </w:tcPr>
          <w:p w14:paraId="69F6C3AC" w14:textId="77777777" w:rsidR="00ED32F5" w:rsidRDefault="00ED32F5" w:rsidP="00A5157B">
            <w:pPr>
              <w:spacing w:line="240" w:lineRule="auto"/>
            </w:pPr>
            <w:r>
              <w:t>Andrea Del Vecchio</w:t>
            </w:r>
          </w:p>
        </w:tc>
        <w:tc>
          <w:tcPr>
            <w:tcW w:w="3225" w:type="dxa"/>
            <w:vAlign w:val="center"/>
          </w:tcPr>
          <w:p w14:paraId="3ABDA003" w14:textId="77777777" w:rsidR="00ED32F5" w:rsidRDefault="00ED32F5" w:rsidP="00A5157B">
            <w:pPr>
              <w:spacing w:line="240" w:lineRule="auto"/>
            </w:pPr>
            <w:r>
              <w:t>Chair of Physical Sciences</w:t>
            </w:r>
          </w:p>
        </w:tc>
        <w:tc>
          <w:tcPr>
            <w:tcW w:w="3100" w:type="dxa"/>
            <w:vAlign w:val="center"/>
          </w:tcPr>
          <w:p w14:paraId="17B0569A" w14:textId="74326D54" w:rsidR="00ED32F5" w:rsidRDefault="00C3328F" w:rsidP="00A5157B">
            <w:pPr>
              <w:spacing w:line="240" w:lineRule="auto"/>
            </w:pPr>
            <w:r>
              <w:t>*</w:t>
            </w:r>
            <w:proofErr w:type="gramStart"/>
            <w:r>
              <w:t>approved</w:t>
            </w:r>
            <w:proofErr w:type="gramEnd"/>
            <w:r>
              <w:t xml:space="preserve"> by email</w:t>
            </w:r>
          </w:p>
        </w:tc>
        <w:tc>
          <w:tcPr>
            <w:tcW w:w="1391" w:type="dxa"/>
            <w:vAlign w:val="center"/>
          </w:tcPr>
          <w:p w14:paraId="62F71EAC" w14:textId="3D5B5212" w:rsidR="00ED32F5" w:rsidRDefault="00C3328F" w:rsidP="00A5157B">
            <w:pPr>
              <w:spacing w:line="240" w:lineRule="auto"/>
            </w:pPr>
            <w:r>
              <w:t>3/3/2023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1"/>
        <w:gridCol w:w="3254"/>
        <w:gridCol w:w="3195"/>
        <w:gridCol w:w="1160"/>
      </w:tblGrid>
      <w:tr w:rsidR="00115A68" w:rsidRPr="00402602" w14:paraId="1CE68611" w14:textId="77777777" w:rsidTr="00ED32F5">
        <w:trPr>
          <w:cantSplit/>
          <w:tblHeader/>
        </w:trPr>
        <w:tc>
          <w:tcPr>
            <w:tcW w:w="3171" w:type="dxa"/>
            <w:vAlign w:val="center"/>
          </w:tcPr>
          <w:p w14:paraId="3E1DDF49" w14:textId="77777777" w:rsidR="00115A68" w:rsidRPr="00A83A6C" w:rsidRDefault="00115A68" w:rsidP="0015571B">
            <w:pPr>
              <w:pStyle w:val="Heading5"/>
              <w:jc w:val="center"/>
            </w:pPr>
            <w:r w:rsidRPr="00A83A6C">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5"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0" w:name="Signature_2"/>
            <w:bookmarkEnd w:id="30"/>
          </w:p>
        </w:tc>
        <w:tc>
          <w:tcPr>
            <w:tcW w:w="1160" w:type="dxa"/>
            <w:vAlign w:val="center"/>
          </w:tcPr>
          <w:p w14:paraId="1B58133B" w14:textId="77777777" w:rsidR="00115A68" w:rsidRPr="00A83A6C" w:rsidRDefault="00115A68" w:rsidP="0015571B">
            <w:pPr>
              <w:pStyle w:val="Heading5"/>
              <w:jc w:val="center"/>
            </w:pPr>
            <w:r w:rsidRPr="00A83A6C">
              <w:t>Date</w:t>
            </w:r>
          </w:p>
        </w:tc>
      </w:tr>
      <w:tr w:rsidR="00115A68" w14:paraId="1CA688DC" w14:textId="77777777" w:rsidTr="00ED32F5">
        <w:trPr>
          <w:cantSplit/>
          <w:trHeight w:val="489"/>
        </w:trPr>
        <w:tc>
          <w:tcPr>
            <w:tcW w:w="3171" w:type="dxa"/>
            <w:vAlign w:val="center"/>
          </w:tcPr>
          <w:p w14:paraId="69BC619F" w14:textId="77777777" w:rsidR="00115A68" w:rsidRDefault="00115A68" w:rsidP="0015571B">
            <w:pPr>
              <w:spacing w:line="240" w:lineRule="auto"/>
            </w:pPr>
          </w:p>
        </w:tc>
        <w:tc>
          <w:tcPr>
            <w:tcW w:w="3254" w:type="dxa"/>
            <w:vAlign w:val="center"/>
          </w:tcPr>
          <w:p w14:paraId="7AFA00B4" w14:textId="77777777" w:rsidR="00115A68" w:rsidRDefault="00115A68" w:rsidP="0015571B">
            <w:pPr>
              <w:spacing w:line="240" w:lineRule="auto"/>
            </w:pPr>
          </w:p>
        </w:tc>
        <w:tc>
          <w:tcPr>
            <w:tcW w:w="3195" w:type="dxa"/>
            <w:vAlign w:val="center"/>
          </w:tcPr>
          <w:p w14:paraId="63F9F878" w14:textId="77777777" w:rsidR="00115A68" w:rsidRDefault="00115A68" w:rsidP="0015571B">
            <w:pPr>
              <w:spacing w:line="240" w:lineRule="auto"/>
            </w:pPr>
          </w:p>
        </w:tc>
        <w:tc>
          <w:tcPr>
            <w:tcW w:w="1160" w:type="dxa"/>
            <w:vAlign w:val="center"/>
          </w:tcPr>
          <w:p w14:paraId="07BDEFD6" w14:textId="77777777" w:rsidR="00115A68" w:rsidRDefault="00115A68" w:rsidP="0015571B">
            <w:pPr>
              <w:spacing w:line="240" w:lineRule="auto"/>
            </w:pPr>
          </w:p>
        </w:tc>
      </w:tr>
      <w:tr w:rsidR="00115A68" w14:paraId="6F8C6D2D" w14:textId="77777777" w:rsidTr="00ED32F5">
        <w:trPr>
          <w:cantSplit/>
          <w:trHeight w:val="489"/>
        </w:trPr>
        <w:tc>
          <w:tcPr>
            <w:tcW w:w="3171" w:type="dxa"/>
            <w:vAlign w:val="center"/>
          </w:tcPr>
          <w:p w14:paraId="3BDD2887" w14:textId="77777777" w:rsidR="00115A68" w:rsidRDefault="00115A68" w:rsidP="0015571B">
            <w:pPr>
              <w:spacing w:line="240" w:lineRule="auto"/>
            </w:pPr>
          </w:p>
        </w:tc>
        <w:tc>
          <w:tcPr>
            <w:tcW w:w="3254" w:type="dxa"/>
            <w:vAlign w:val="center"/>
          </w:tcPr>
          <w:p w14:paraId="2E689D42" w14:textId="77777777" w:rsidR="00115A68" w:rsidRDefault="00115A68" w:rsidP="0015571B">
            <w:pPr>
              <w:spacing w:line="240" w:lineRule="auto"/>
            </w:pPr>
          </w:p>
        </w:tc>
        <w:tc>
          <w:tcPr>
            <w:tcW w:w="3195" w:type="dxa"/>
            <w:vAlign w:val="center"/>
          </w:tcPr>
          <w:p w14:paraId="7E65BB20" w14:textId="77777777" w:rsidR="00115A68" w:rsidRDefault="00115A68" w:rsidP="0015571B">
            <w:pPr>
              <w:spacing w:line="240" w:lineRule="auto"/>
            </w:pPr>
          </w:p>
        </w:tc>
        <w:tc>
          <w:tcPr>
            <w:tcW w:w="1160"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5673" w14:textId="77777777" w:rsidR="009C4DEF" w:rsidRDefault="009C4DEF" w:rsidP="00FA78CA">
      <w:pPr>
        <w:spacing w:line="240" w:lineRule="auto"/>
      </w:pPr>
      <w:r>
        <w:separator/>
      </w:r>
    </w:p>
  </w:endnote>
  <w:endnote w:type="continuationSeparator" w:id="0">
    <w:p w14:paraId="4C56A4FB" w14:textId="77777777" w:rsidR="009C4DEF" w:rsidRDefault="009C4DEF"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E231" w14:textId="77777777" w:rsidR="009C4DEF" w:rsidRDefault="009C4DEF" w:rsidP="00FA78CA">
      <w:pPr>
        <w:spacing w:line="240" w:lineRule="auto"/>
      </w:pPr>
      <w:r>
        <w:separator/>
      </w:r>
    </w:p>
  </w:footnote>
  <w:footnote w:type="continuationSeparator" w:id="0">
    <w:p w14:paraId="0A9D5FB0" w14:textId="77777777" w:rsidR="009C4DEF" w:rsidRDefault="009C4DEF"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0744F92"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26134A">
      <w:rPr>
        <w:color w:val="4F6228"/>
      </w:rPr>
      <w:t>22-23-058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26134A">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674"/>
    <w:multiLevelType w:val="hybridMultilevel"/>
    <w:tmpl w:val="0540B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964463217">
    <w:abstractNumId w:val="12"/>
  </w:num>
  <w:num w:numId="2" w16cid:durableId="797991415">
    <w:abstractNumId w:val="4"/>
  </w:num>
  <w:num w:numId="3" w16cid:durableId="1029768686">
    <w:abstractNumId w:val="10"/>
  </w:num>
  <w:num w:numId="4" w16cid:durableId="836843921">
    <w:abstractNumId w:val="2"/>
  </w:num>
  <w:num w:numId="5" w16cid:durableId="882711079">
    <w:abstractNumId w:val="6"/>
  </w:num>
  <w:num w:numId="6" w16cid:durableId="1897083184">
    <w:abstractNumId w:val="13"/>
  </w:num>
  <w:num w:numId="7" w16cid:durableId="212426637">
    <w:abstractNumId w:val="3"/>
  </w:num>
  <w:num w:numId="8" w16cid:durableId="1833252517">
    <w:abstractNumId w:val="9"/>
  </w:num>
  <w:num w:numId="9" w16cid:durableId="1357850794">
    <w:abstractNumId w:val="11"/>
  </w:num>
  <w:num w:numId="10" w16cid:durableId="111288961">
    <w:abstractNumId w:val="5"/>
  </w:num>
  <w:num w:numId="11" w16cid:durableId="1311207992">
    <w:abstractNumId w:val="14"/>
  </w:num>
  <w:num w:numId="12" w16cid:durableId="176114897">
    <w:abstractNumId w:val="8"/>
  </w:num>
  <w:num w:numId="13" w16cid:durableId="563566489">
    <w:abstractNumId w:val="1"/>
  </w:num>
  <w:num w:numId="14" w16cid:durableId="720401319">
    <w:abstractNumId w:val="7"/>
  </w:num>
  <w:num w:numId="15" w16cid:durableId="120009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08E"/>
    <w:rsid w:val="00013152"/>
    <w:rsid w:val="0002048B"/>
    <w:rsid w:val="00027199"/>
    <w:rsid w:val="000301C7"/>
    <w:rsid w:val="00033392"/>
    <w:rsid w:val="0004554C"/>
    <w:rsid w:val="000556B3"/>
    <w:rsid w:val="0005769F"/>
    <w:rsid w:val="00077787"/>
    <w:rsid w:val="000801BC"/>
    <w:rsid w:val="000810FF"/>
    <w:rsid w:val="000A36CD"/>
    <w:rsid w:val="000A594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B484B"/>
    <w:rsid w:val="001C3A09"/>
    <w:rsid w:val="001C6201"/>
    <w:rsid w:val="001D6E18"/>
    <w:rsid w:val="0020058E"/>
    <w:rsid w:val="00237355"/>
    <w:rsid w:val="00241866"/>
    <w:rsid w:val="002578DB"/>
    <w:rsid w:val="0026134A"/>
    <w:rsid w:val="002628AC"/>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D2CB2"/>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81967"/>
    <w:rsid w:val="005851AF"/>
    <w:rsid w:val="005873E3"/>
    <w:rsid w:val="00590188"/>
    <w:rsid w:val="00592CE2"/>
    <w:rsid w:val="0059448E"/>
    <w:rsid w:val="005B1049"/>
    <w:rsid w:val="005C23BD"/>
    <w:rsid w:val="005C3F83"/>
    <w:rsid w:val="005D389E"/>
    <w:rsid w:val="005E2D3D"/>
    <w:rsid w:val="005F2A05"/>
    <w:rsid w:val="0061535B"/>
    <w:rsid w:val="006575EA"/>
    <w:rsid w:val="00670869"/>
    <w:rsid w:val="00672B06"/>
    <w:rsid w:val="006761E1"/>
    <w:rsid w:val="00683987"/>
    <w:rsid w:val="006970B0"/>
    <w:rsid w:val="006A5357"/>
    <w:rsid w:val="006B20A9"/>
    <w:rsid w:val="006B5E47"/>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577E3"/>
    <w:rsid w:val="00760EA6"/>
    <w:rsid w:val="00766256"/>
    <w:rsid w:val="00776415"/>
    <w:rsid w:val="0077754D"/>
    <w:rsid w:val="00785744"/>
    <w:rsid w:val="00795D54"/>
    <w:rsid w:val="00796AF7"/>
    <w:rsid w:val="007970C3"/>
    <w:rsid w:val="007A5702"/>
    <w:rsid w:val="007B10BE"/>
    <w:rsid w:val="007E7D68"/>
    <w:rsid w:val="007F4255"/>
    <w:rsid w:val="008122C6"/>
    <w:rsid w:val="008175DB"/>
    <w:rsid w:val="00834E59"/>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A164E"/>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C4DEF"/>
    <w:rsid w:val="009F029C"/>
    <w:rsid w:val="009F2F3E"/>
    <w:rsid w:val="009F6D67"/>
    <w:rsid w:val="00A01611"/>
    <w:rsid w:val="00A04A92"/>
    <w:rsid w:val="00A06E22"/>
    <w:rsid w:val="00A11DCD"/>
    <w:rsid w:val="00A278B9"/>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B400A"/>
    <w:rsid w:val="00AC3032"/>
    <w:rsid w:val="00AC7094"/>
    <w:rsid w:val="00AE5302"/>
    <w:rsid w:val="00AE552A"/>
    <w:rsid w:val="00AE78C2"/>
    <w:rsid w:val="00AE7A3D"/>
    <w:rsid w:val="00B12BAB"/>
    <w:rsid w:val="00B20954"/>
    <w:rsid w:val="00B24AAC"/>
    <w:rsid w:val="00B25460"/>
    <w:rsid w:val="00B26F16"/>
    <w:rsid w:val="00B35315"/>
    <w:rsid w:val="00B4771F"/>
    <w:rsid w:val="00B4784B"/>
    <w:rsid w:val="00B51B79"/>
    <w:rsid w:val="00B605CE"/>
    <w:rsid w:val="00B649C4"/>
    <w:rsid w:val="00B71928"/>
    <w:rsid w:val="00B77369"/>
    <w:rsid w:val="00B82B64"/>
    <w:rsid w:val="00B84419"/>
    <w:rsid w:val="00B85F49"/>
    <w:rsid w:val="00B862BF"/>
    <w:rsid w:val="00B87B39"/>
    <w:rsid w:val="00BB11B9"/>
    <w:rsid w:val="00BC2A73"/>
    <w:rsid w:val="00BC42B6"/>
    <w:rsid w:val="00BD2135"/>
    <w:rsid w:val="00BF1795"/>
    <w:rsid w:val="00BF2EDB"/>
    <w:rsid w:val="00BF30C5"/>
    <w:rsid w:val="00C0654C"/>
    <w:rsid w:val="00C11283"/>
    <w:rsid w:val="00C25F9D"/>
    <w:rsid w:val="00C31E83"/>
    <w:rsid w:val="00C3328F"/>
    <w:rsid w:val="00C344AB"/>
    <w:rsid w:val="00C3772A"/>
    <w:rsid w:val="00C47FB5"/>
    <w:rsid w:val="00C518C1"/>
    <w:rsid w:val="00C53751"/>
    <w:rsid w:val="00C57281"/>
    <w:rsid w:val="00C61286"/>
    <w:rsid w:val="00C63F4F"/>
    <w:rsid w:val="00C94576"/>
    <w:rsid w:val="00C969FA"/>
    <w:rsid w:val="00C97577"/>
    <w:rsid w:val="00CA71A8"/>
    <w:rsid w:val="00CC03A7"/>
    <w:rsid w:val="00CC3E7A"/>
    <w:rsid w:val="00CD18DD"/>
    <w:rsid w:val="00CD4615"/>
    <w:rsid w:val="00CD6B80"/>
    <w:rsid w:val="00CE7AB8"/>
    <w:rsid w:val="00CF0458"/>
    <w:rsid w:val="00CF0A1D"/>
    <w:rsid w:val="00D16E09"/>
    <w:rsid w:val="00D3744C"/>
    <w:rsid w:val="00D56C09"/>
    <w:rsid w:val="00D60C43"/>
    <w:rsid w:val="00D64DF4"/>
    <w:rsid w:val="00D65F02"/>
    <w:rsid w:val="00D713D7"/>
    <w:rsid w:val="00D75B84"/>
    <w:rsid w:val="00D75FF8"/>
    <w:rsid w:val="00D968DA"/>
    <w:rsid w:val="00D96C1E"/>
    <w:rsid w:val="00DA1CC6"/>
    <w:rsid w:val="00DA73A0"/>
    <w:rsid w:val="00DB01E9"/>
    <w:rsid w:val="00DB23D4"/>
    <w:rsid w:val="00DB63D4"/>
    <w:rsid w:val="00DC0103"/>
    <w:rsid w:val="00DC15D9"/>
    <w:rsid w:val="00DD69AE"/>
    <w:rsid w:val="00DE2B7A"/>
    <w:rsid w:val="00DF4FCD"/>
    <w:rsid w:val="00DF7C07"/>
    <w:rsid w:val="00E36899"/>
    <w:rsid w:val="00E36AF7"/>
    <w:rsid w:val="00E4755D"/>
    <w:rsid w:val="00E500F9"/>
    <w:rsid w:val="00E60627"/>
    <w:rsid w:val="00E641DE"/>
    <w:rsid w:val="00E95018"/>
    <w:rsid w:val="00E97EAD"/>
    <w:rsid w:val="00EB33FD"/>
    <w:rsid w:val="00EC194E"/>
    <w:rsid w:val="00EC38F4"/>
    <w:rsid w:val="00EC63A4"/>
    <w:rsid w:val="00EC7B24"/>
    <w:rsid w:val="00ED0D58"/>
    <w:rsid w:val="00ED1712"/>
    <w:rsid w:val="00ED32F5"/>
    <w:rsid w:val="00F15B95"/>
    <w:rsid w:val="00F3256C"/>
    <w:rsid w:val="00F32980"/>
    <w:rsid w:val="00F409A9"/>
    <w:rsid w:val="00F41DE4"/>
    <w:rsid w:val="00F42F5D"/>
    <w:rsid w:val="00F50687"/>
    <w:rsid w:val="00F62BE0"/>
    <w:rsid w:val="00F64260"/>
    <w:rsid w:val="00F8288D"/>
    <w:rsid w:val="00F84B65"/>
    <w:rsid w:val="00F871BA"/>
    <w:rsid w:val="00FA6359"/>
    <w:rsid w:val="00FA6998"/>
    <w:rsid w:val="00FA769F"/>
    <w:rsid w:val="00FA78CA"/>
    <w:rsid w:val="00FB1042"/>
    <w:rsid w:val="00FC14D1"/>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ric.smartcatalogiq.com/en/2022-2023/Catalog/Courses/BIOL-Biolog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transfer%20agre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42</cp:revision>
  <cp:lastPrinted>2015-10-02T15:20:00Z</cp:lastPrinted>
  <dcterms:created xsi:type="dcterms:W3CDTF">2021-12-12T20:39:00Z</dcterms:created>
  <dcterms:modified xsi:type="dcterms:W3CDTF">2023-03-14T12:58:00Z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