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3FAF341" w:rsidR="00F64260" w:rsidRPr="00A83A6C" w:rsidRDefault="00280936" w:rsidP="00B862BF">
            <w:pPr>
              <w:pStyle w:val="Heading5"/>
              <w:rPr>
                <w:b/>
              </w:rPr>
            </w:pPr>
            <w:bookmarkStart w:id="0" w:name="Proposal"/>
            <w:bookmarkEnd w:id="0"/>
            <w:r>
              <w:rPr>
                <w:b/>
              </w:rPr>
              <w:t>ENGL 461W Advanced Workshop in Creative Writing</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EC15A0B"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C0D7CEE" w:rsidR="00280936" w:rsidRPr="005F2A05" w:rsidRDefault="00F64260" w:rsidP="00280936">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0A06C711"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881D498" w:rsidR="00F64260" w:rsidRPr="00B605CE" w:rsidRDefault="00280936" w:rsidP="00B862BF">
            <w:pPr>
              <w:rPr>
                <w:b/>
              </w:rPr>
            </w:pPr>
            <w:bookmarkStart w:id="5" w:name="Originator"/>
            <w:bookmarkEnd w:id="5"/>
            <w:r>
              <w:rPr>
                <w:b/>
              </w:rPr>
              <w:t>Karen Boren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67F30D8" w:rsidR="00F64260" w:rsidRPr="00B605CE" w:rsidRDefault="00280936" w:rsidP="00B862BF">
            <w:pPr>
              <w:rPr>
                <w:b/>
              </w:rPr>
            </w:pPr>
            <w:bookmarkStart w:id="6" w:name="home_dept"/>
            <w:bookmarkEnd w:id="6"/>
            <w:r>
              <w:rPr>
                <w:b/>
              </w:rPr>
              <w:t>English</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4D4A7206" w14:textId="027CA1E3" w:rsidR="00F64260" w:rsidRDefault="00280936">
            <w:pPr>
              <w:spacing w:line="240" w:lineRule="auto"/>
              <w:rPr>
                <w:b/>
              </w:rPr>
            </w:pPr>
            <w:r>
              <w:rPr>
                <w:b/>
              </w:rPr>
              <w:t>We have realized that the current prerequisite of 8 hours of creative writing courses at the 300-level for this course is not necessary and would like to change it to just one 300-level creative writing course, which is sufficient for students to succeed in the ENGL 461W workshop class.</w:t>
            </w:r>
          </w:p>
          <w:p w14:paraId="2CAE390D" w14:textId="77777777" w:rsidR="00F64260" w:rsidRDefault="00F64260">
            <w:pPr>
              <w:spacing w:line="240" w:lineRule="auto"/>
              <w:rPr>
                <w:b/>
              </w:rPr>
            </w:pPr>
          </w:p>
          <w:p w14:paraId="32CF7281" w14:textId="77777777" w:rsidR="00F64260" w:rsidRDefault="00F64260">
            <w:pPr>
              <w:spacing w:line="240" w:lineRule="auto"/>
              <w:rPr>
                <w:b/>
              </w:rPr>
            </w:pPr>
          </w:p>
          <w:p w14:paraId="5B687CFA" w14:textId="77777777" w:rsidR="00F64260" w:rsidRDefault="00F64260">
            <w:pPr>
              <w:spacing w:line="240" w:lineRule="auto"/>
              <w:rPr>
                <w:b/>
              </w:rPr>
            </w:pPr>
          </w:p>
          <w:p w14:paraId="528F72EA"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56DF113B" w14:textId="6354FAEE" w:rsidR="00280936" w:rsidRDefault="00280936" w:rsidP="00280936">
            <w:pPr>
              <w:spacing w:line="240" w:lineRule="auto"/>
              <w:rPr>
                <w:b/>
              </w:rPr>
            </w:pPr>
            <w:bookmarkStart w:id="8" w:name="student_impact"/>
            <w:bookmarkEnd w:id="8"/>
            <w:r>
              <w:rPr>
                <w:b/>
              </w:rPr>
              <w:t>This will allow students to move more easily through the Creative Writing programs.</w:t>
            </w:r>
          </w:p>
          <w:p w14:paraId="0194753B" w14:textId="46A4EC0F" w:rsidR="00517DB2" w:rsidRPr="00B649C4" w:rsidRDefault="00517DB2"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5D59606" w:rsidR="00517DB2" w:rsidRPr="00B649C4" w:rsidRDefault="00280936"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268F89E" w:rsidR="008D52B7" w:rsidRPr="00C25F9D" w:rsidRDefault="00280936"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FFB2408" w:rsidR="008D52B7" w:rsidRPr="00C25F9D" w:rsidRDefault="00280936"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24137D8" w:rsidR="008D52B7" w:rsidRPr="00C25F9D" w:rsidRDefault="00280936"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9F65BE4" w:rsidR="008D52B7" w:rsidRPr="00C25F9D" w:rsidRDefault="00280936"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6C1A7AE" w:rsidR="00F64260" w:rsidRPr="00B605CE" w:rsidRDefault="00280936" w:rsidP="00B862BF">
            <w:pPr>
              <w:rPr>
                <w:b/>
              </w:rPr>
            </w:pPr>
            <w:bookmarkStart w:id="10" w:name="date_submitted"/>
            <w:bookmarkEnd w:id="10"/>
            <w:r>
              <w:rPr>
                <w:b/>
              </w:rPr>
              <w:t>Fall 2023</w:t>
            </w:r>
          </w:p>
        </w:tc>
        <w:tc>
          <w:tcPr>
            <w:tcW w:w="1373" w:type="pct"/>
            <w:gridSpan w:val="2"/>
          </w:tcPr>
          <w:p w14:paraId="5496F461" w14:textId="799FC258"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907AB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4825AE8A" w:rsidR="00F64260" w:rsidRPr="009F029C" w:rsidRDefault="00280936" w:rsidP="001429AA">
            <w:pPr>
              <w:spacing w:line="240" w:lineRule="auto"/>
              <w:rPr>
                <w:b/>
              </w:rPr>
            </w:pPr>
            <w:bookmarkStart w:id="12" w:name="cours_title"/>
            <w:bookmarkEnd w:id="12"/>
            <w:r>
              <w:rPr>
                <w:b/>
              </w:rPr>
              <w:t xml:space="preserve">ENGL 461W </w:t>
            </w:r>
          </w:p>
        </w:tc>
        <w:tc>
          <w:tcPr>
            <w:tcW w:w="3840" w:type="dxa"/>
            <w:noWrap/>
          </w:tcPr>
          <w:p w14:paraId="6540064C" w14:textId="77777777"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8A5CFCD" w:rsidR="00F64260" w:rsidRPr="009F029C" w:rsidRDefault="00280936" w:rsidP="001429AA">
            <w:pPr>
              <w:spacing w:line="240" w:lineRule="auto"/>
              <w:rPr>
                <w:b/>
              </w:rPr>
            </w:pPr>
            <w:bookmarkStart w:id="13" w:name="title"/>
            <w:bookmarkEnd w:id="13"/>
            <w:r>
              <w:rPr>
                <w:b/>
              </w:rPr>
              <w:t>Advanced Workshop in Creative Writing</w:t>
            </w:r>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6CCF1FDE" w:rsidR="00F64260" w:rsidRPr="009F029C" w:rsidRDefault="00280936" w:rsidP="001429AA">
            <w:pPr>
              <w:spacing w:line="240" w:lineRule="auto"/>
              <w:rPr>
                <w:b/>
              </w:rPr>
            </w:pPr>
            <w:bookmarkStart w:id="15" w:name="prereqs"/>
            <w:bookmarkEnd w:id="15"/>
            <w:r>
              <w:rPr>
                <w:b/>
              </w:rPr>
              <w:t>Completion of at least 8 hours of creative writing courses at the 300-level or consent of program director</w:t>
            </w:r>
          </w:p>
        </w:tc>
        <w:tc>
          <w:tcPr>
            <w:tcW w:w="3840" w:type="dxa"/>
            <w:noWrap/>
          </w:tcPr>
          <w:p w14:paraId="4DA91B44" w14:textId="6A7968CE" w:rsidR="00F64260" w:rsidRPr="009F029C" w:rsidRDefault="00280936" w:rsidP="001429AA">
            <w:pPr>
              <w:spacing w:line="240" w:lineRule="auto"/>
              <w:rPr>
                <w:b/>
              </w:rPr>
            </w:pPr>
            <w:r>
              <w:rPr>
                <w:b/>
              </w:rPr>
              <w:t>ENGL 371W, ENGL 372W, or ENGL 373W or consent of program director.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C21EC5A" w:rsidR="00F64260" w:rsidRPr="009F029C" w:rsidRDefault="00F64260" w:rsidP="000A36CD">
            <w:pPr>
              <w:spacing w:line="240" w:lineRule="auto"/>
              <w:rPr>
                <w:b/>
                <w:sz w:val="20"/>
              </w:rPr>
            </w:pPr>
          </w:p>
        </w:tc>
        <w:tc>
          <w:tcPr>
            <w:tcW w:w="3840" w:type="dxa"/>
            <w:noWrap/>
          </w:tcPr>
          <w:p w14:paraId="67D1137F" w14:textId="7C74FC5A"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48C55061" w:rsidR="00F64260" w:rsidRPr="009F029C" w:rsidRDefault="00F64260" w:rsidP="001429AA">
            <w:pPr>
              <w:spacing w:line="240" w:lineRule="auto"/>
              <w:rPr>
                <w:b/>
                <w:sz w:val="20"/>
              </w:rPr>
            </w:pPr>
          </w:p>
        </w:tc>
        <w:tc>
          <w:tcPr>
            <w:tcW w:w="3840" w:type="dxa"/>
            <w:noWrap/>
          </w:tcPr>
          <w:p w14:paraId="2CF717EE" w14:textId="4E83CFB4"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1C40A21" w:rsidR="00F64260" w:rsidRPr="009F029C" w:rsidRDefault="00F64260" w:rsidP="006B20A9">
            <w:pPr>
              <w:spacing w:line="240" w:lineRule="auto"/>
              <w:rPr>
                <w:b/>
                <w:sz w:val="20"/>
              </w:rPr>
            </w:pPr>
            <w:bookmarkStart w:id="19" w:name="instr_methods"/>
            <w:bookmarkEnd w:id="19"/>
          </w:p>
        </w:tc>
        <w:tc>
          <w:tcPr>
            <w:tcW w:w="3840" w:type="dxa"/>
            <w:noWrap/>
          </w:tcPr>
          <w:p w14:paraId="27D66483" w14:textId="4EB69BC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54A98283" w:rsidR="005E2D3D" w:rsidRPr="009F029C" w:rsidRDefault="005E2D3D" w:rsidP="00837253">
            <w:pPr>
              <w:spacing w:line="240" w:lineRule="auto"/>
              <w:rPr>
                <w:b/>
                <w:sz w:val="20"/>
              </w:rPr>
            </w:pPr>
          </w:p>
        </w:tc>
        <w:tc>
          <w:tcPr>
            <w:tcW w:w="3840" w:type="dxa"/>
            <w:noWrap/>
          </w:tcPr>
          <w:p w14:paraId="50180751" w14:textId="5048A4C3"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600BD4D" w:rsidR="00F64260" w:rsidRPr="009F029C" w:rsidRDefault="00F64260" w:rsidP="00A87611">
            <w:pPr>
              <w:spacing w:line="240" w:lineRule="auto"/>
              <w:rPr>
                <w:b/>
                <w:sz w:val="20"/>
              </w:rPr>
            </w:pPr>
            <w:bookmarkStart w:id="20" w:name="required"/>
            <w:bookmarkEnd w:id="20"/>
          </w:p>
        </w:tc>
        <w:tc>
          <w:tcPr>
            <w:tcW w:w="3840" w:type="dxa"/>
            <w:noWrap/>
          </w:tcPr>
          <w:p w14:paraId="442E5788" w14:textId="656AE10D"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CA0053F" w:rsidR="00F64260" w:rsidRPr="009F029C" w:rsidRDefault="00F3256C" w:rsidP="001429AA">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1CF798F" w14:textId="0DE59C0B" w:rsidR="00F64260" w:rsidRPr="009F029C" w:rsidRDefault="00F64260" w:rsidP="001429AA">
            <w:pPr>
              <w:spacing w:line="240" w:lineRule="auto"/>
              <w:rPr>
                <w:b/>
              </w:rPr>
            </w:pP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61F62504" w:rsidR="00984B36" w:rsidRDefault="00F3256C" w:rsidP="001A51ED">
            <w:pPr>
              <w:rPr>
                <w:rFonts w:ascii="MS Mincho" w:eastAsia="MS Mincho" w:hAnsi="MS Mincho" w:cs="MS Mincho"/>
                <w:b/>
                <w:sz w:val="20"/>
              </w:rPr>
            </w:pPr>
            <w:bookmarkStart w:id="21" w:name="ge"/>
            <w:bookmarkEnd w:id="21"/>
            <w:r w:rsidRPr="009F029C">
              <w:rPr>
                <w:rFonts w:ascii="MS Mincho" w:eastAsia="MS Mincho" w:hAnsi="MS Mincho" w:cs="MS Mincho"/>
                <w:b/>
                <w:sz w:val="20"/>
              </w:rPr>
              <w:t>|</w:t>
            </w:r>
            <w:r>
              <w:rPr>
                <w:b/>
              </w:rPr>
              <w:t xml:space="preserve"> NO</w:t>
            </w:r>
            <w:r w:rsidR="00984B36">
              <w:rPr>
                <w:b/>
              </w:rPr>
              <w:t xml:space="preserve">  </w:t>
            </w:r>
          </w:p>
          <w:p w14:paraId="071181E7" w14:textId="67D48F44" w:rsidR="00F64260" w:rsidRPr="009F029C" w:rsidRDefault="00984B36" w:rsidP="001A51ED">
            <w:pPr>
              <w:rPr>
                <w:b/>
                <w:sz w:val="20"/>
              </w:rPr>
            </w:pPr>
            <w:r>
              <w:rPr>
                <w:b/>
              </w:rPr>
              <w:t>category:</w:t>
            </w:r>
          </w:p>
        </w:tc>
        <w:tc>
          <w:tcPr>
            <w:tcW w:w="3840" w:type="dxa"/>
            <w:noWrap/>
          </w:tcPr>
          <w:p w14:paraId="45B135E3" w14:textId="3AF6F035"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2E69EE5B" w:rsidR="00CF0A1D" w:rsidRDefault="00CF0A1D" w:rsidP="001A51ED">
            <w:pPr>
              <w:rPr>
                <w:b/>
              </w:rPr>
            </w:pPr>
            <w:r>
              <w:rPr>
                <w:b/>
              </w:rPr>
              <w:t xml:space="preserve">YES </w:t>
            </w:r>
            <w:r w:rsidRPr="009F029C">
              <w:rPr>
                <w:rFonts w:ascii="MS Mincho" w:eastAsia="MS Mincho" w:hAnsi="MS Mincho" w:cs="MS Mincho"/>
                <w:b/>
                <w:sz w:val="20"/>
              </w:rPr>
              <w:t>|</w:t>
            </w:r>
            <w:r>
              <w:rPr>
                <w:b/>
              </w:rPr>
              <w:t xml:space="preserve"> </w:t>
            </w:r>
          </w:p>
        </w:tc>
        <w:tc>
          <w:tcPr>
            <w:tcW w:w="3840" w:type="dxa"/>
            <w:noWrap/>
          </w:tcPr>
          <w:p w14:paraId="10B541DA" w14:textId="30E9EF61" w:rsidR="00CF0A1D" w:rsidRDefault="00CF0A1D" w:rsidP="001429AA">
            <w:pPr>
              <w:spacing w:line="240" w:lineRule="auto"/>
              <w:rPr>
                <w:b/>
              </w:rPr>
            </w:pP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991194F" w:rsidR="00F64260" w:rsidRPr="009F029C" w:rsidRDefault="00F64260" w:rsidP="00837253">
            <w:pPr>
              <w:spacing w:line="240" w:lineRule="auto"/>
              <w:rPr>
                <w:b/>
                <w:sz w:val="20"/>
              </w:rPr>
            </w:pPr>
            <w:bookmarkStart w:id="22" w:name="performance"/>
            <w:bookmarkEnd w:id="22"/>
          </w:p>
        </w:tc>
        <w:tc>
          <w:tcPr>
            <w:tcW w:w="3840" w:type="dxa"/>
            <w:noWrap/>
          </w:tcPr>
          <w:p w14:paraId="33AC4615" w14:textId="6E84A099"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56FEA335" w:rsidR="005E2D3D" w:rsidRDefault="00280936" w:rsidP="005E2D3D">
            <w:pPr>
              <w:pStyle w:val="ListParagraph"/>
              <w:numPr>
                <w:ilvl w:val="1"/>
                <w:numId w:val="8"/>
              </w:numPr>
              <w:spacing w:line="240" w:lineRule="auto"/>
            </w:pPr>
            <w:bookmarkStart w:id="26" w:name="outline"/>
            <w:bookmarkEnd w:id="26"/>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4963"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0"/>
        <w:gridCol w:w="3237"/>
        <w:gridCol w:w="3139"/>
        <w:gridCol w:w="1194"/>
      </w:tblGrid>
      <w:tr w:rsidR="00115A68" w:rsidRPr="00402602" w14:paraId="67436BB2" w14:textId="77777777" w:rsidTr="001672A5">
        <w:trPr>
          <w:cantSplit/>
          <w:tblHeader/>
        </w:trPr>
        <w:tc>
          <w:tcPr>
            <w:tcW w:w="3130" w:type="dxa"/>
            <w:vAlign w:val="center"/>
          </w:tcPr>
          <w:p w14:paraId="739386E3" w14:textId="77777777" w:rsidR="00115A68" w:rsidRPr="00A83A6C" w:rsidRDefault="00115A68" w:rsidP="0015571B">
            <w:pPr>
              <w:pStyle w:val="Heading5"/>
              <w:jc w:val="center"/>
            </w:pPr>
            <w:r w:rsidRPr="00A83A6C">
              <w:t>Name</w:t>
            </w:r>
          </w:p>
        </w:tc>
        <w:tc>
          <w:tcPr>
            <w:tcW w:w="3237"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39"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94" w:type="dxa"/>
            <w:vAlign w:val="center"/>
          </w:tcPr>
          <w:p w14:paraId="4B00582C" w14:textId="77777777" w:rsidR="00115A68" w:rsidRPr="00A83A6C" w:rsidRDefault="00115A68" w:rsidP="0015571B">
            <w:pPr>
              <w:pStyle w:val="Heading5"/>
              <w:jc w:val="center"/>
            </w:pPr>
            <w:r w:rsidRPr="00A83A6C">
              <w:t>Date</w:t>
            </w:r>
          </w:p>
        </w:tc>
      </w:tr>
      <w:tr w:rsidR="001672A5" w14:paraId="39678333" w14:textId="77777777" w:rsidTr="001672A5">
        <w:trPr>
          <w:cantSplit/>
          <w:trHeight w:val="489"/>
        </w:trPr>
        <w:tc>
          <w:tcPr>
            <w:tcW w:w="3130" w:type="dxa"/>
            <w:vAlign w:val="center"/>
          </w:tcPr>
          <w:p w14:paraId="535B468C" w14:textId="77777777" w:rsidR="001672A5" w:rsidRDefault="001672A5" w:rsidP="003602C7">
            <w:pPr>
              <w:spacing w:line="240" w:lineRule="auto"/>
            </w:pPr>
            <w:r>
              <w:t xml:space="preserve">Alison </w:t>
            </w:r>
            <w:proofErr w:type="spellStart"/>
            <w:r>
              <w:t>Shonkwiler</w:t>
            </w:r>
            <w:proofErr w:type="spellEnd"/>
          </w:p>
        </w:tc>
        <w:tc>
          <w:tcPr>
            <w:tcW w:w="3237" w:type="dxa"/>
            <w:vAlign w:val="center"/>
          </w:tcPr>
          <w:p w14:paraId="6FAE5B1F" w14:textId="77777777" w:rsidR="001672A5" w:rsidRDefault="001672A5" w:rsidP="003602C7">
            <w:pPr>
              <w:spacing w:line="240" w:lineRule="auto"/>
            </w:pPr>
            <w:r>
              <w:t>Chair of English</w:t>
            </w:r>
          </w:p>
        </w:tc>
        <w:tc>
          <w:tcPr>
            <w:tcW w:w="3139" w:type="dxa"/>
            <w:vAlign w:val="center"/>
          </w:tcPr>
          <w:p w14:paraId="0EEAB48B" w14:textId="77777777" w:rsidR="001672A5" w:rsidRDefault="001672A5" w:rsidP="003602C7">
            <w:pPr>
              <w:spacing w:line="240" w:lineRule="auto"/>
            </w:pPr>
            <w:r>
              <w:t xml:space="preserve">Alison </w:t>
            </w:r>
            <w:proofErr w:type="spellStart"/>
            <w:r>
              <w:t>Shonkwiler</w:t>
            </w:r>
            <w:proofErr w:type="spellEnd"/>
          </w:p>
        </w:tc>
        <w:tc>
          <w:tcPr>
            <w:tcW w:w="1194" w:type="dxa"/>
            <w:vAlign w:val="center"/>
          </w:tcPr>
          <w:p w14:paraId="5D1CEAC6" w14:textId="77777777" w:rsidR="001672A5" w:rsidRDefault="001672A5" w:rsidP="003602C7">
            <w:pPr>
              <w:spacing w:line="240" w:lineRule="auto"/>
            </w:pPr>
            <w:r>
              <w:t>3/3/23</w:t>
            </w:r>
          </w:p>
        </w:tc>
      </w:tr>
      <w:tr w:rsidR="001672A5" w14:paraId="16716118" w14:textId="77777777" w:rsidTr="001672A5">
        <w:trPr>
          <w:cantSplit/>
          <w:trHeight w:val="489"/>
        </w:trPr>
        <w:tc>
          <w:tcPr>
            <w:tcW w:w="3130" w:type="dxa"/>
            <w:vAlign w:val="center"/>
          </w:tcPr>
          <w:p w14:paraId="53210A20" w14:textId="77777777" w:rsidR="001672A5" w:rsidRDefault="001672A5" w:rsidP="003602C7">
            <w:pPr>
              <w:spacing w:line="240" w:lineRule="auto"/>
            </w:pPr>
            <w:r>
              <w:t>Earl Simson</w:t>
            </w:r>
          </w:p>
        </w:tc>
        <w:tc>
          <w:tcPr>
            <w:tcW w:w="3237" w:type="dxa"/>
            <w:vAlign w:val="center"/>
          </w:tcPr>
          <w:p w14:paraId="358E5C38" w14:textId="77777777" w:rsidR="001672A5" w:rsidRDefault="001672A5" w:rsidP="003602C7">
            <w:pPr>
              <w:spacing w:line="240" w:lineRule="auto"/>
            </w:pPr>
            <w:r>
              <w:t>Dean of FAS</w:t>
            </w:r>
          </w:p>
        </w:tc>
        <w:tc>
          <w:tcPr>
            <w:tcW w:w="3139" w:type="dxa"/>
            <w:vAlign w:val="center"/>
          </w:tcPr>
          <w:p w14:paraId="3174AE15" w14:textId="77777777" w:rsidR="001672A5" w:rsidRPr="00846F14" w:rsidRDefault="001672A5" w:rsidP="003602C7">
            <w:pPr>
              <w:spacing w:line="240" w:lineRule="auto"/>
              <w:rPr>
                <w:rFonts w:ascii="Brush Script MT" w:hAnsi="Brush Script MT"/>
                <w:sz w:val="28"/>
              </w:rPr>
            </w:pPr>
            <w:r>
              <w:rPr>
                <w:rFonts w:ascii="Brush Script MT" w:hAnsi="Brush Script MT"/>
                <w:sz w:val="28"/>
              </w:rPr>
              <w:t>Earl Simson</w:t>
            </w:r>
          </w:p>
        </w:tc>
        <w:tc>
          <w:tcPr>
            <w:tcW w:w="1194" w:type="dxa"/>
            <w:vAlign w:val="center"/>
          </w:tcPr>
          <w:p w14:paraId="64471805" w14:textId="77777777" w:rsidR="001672A5" w:rsidRDefault="001672A5" w:rsidP="003602C7">
            <w:pPr>
              <w:spacing w:line="240" w:lineRule="auto"/>
            </w:pPr>
            <w:r>
              <w:t>03/06/23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B6EF" w14:textId="77777777" w:rsidR="00F855C0" w:rsidRDefault="00F855C0" w:rsidP="00FA78CA">
      <w:pPr>
        <w:spacing w:line="240" w:lineRule="auto"/>
      </w:pPr>
      <w:r>
        <w:separator/>
      </w:r>
    </w:p>
  </w:endnote>
  <w:endnote w:type="continuationSeparator" w:id="0">
    <w:p w14:paraId="2E286654" w14:textId="77777777" w:rsidR="00F855C0" w:rsidRDefault="00F855C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BF5D" w14:textId="77777777" w:rsidR="00F855C0" w:rsidRDefault="00F855C0" w:rsidP="00FA78CA">
      <w:pPr>
        <w:spacing w:line="240" w:lineRule="auto"/>
      </w:pPr>
      <w:r>
        <w:separator/>
      </w:r>
    </w:p>
  </w:footnote>
  <w:footnote w:type="continuationSeparator" w:id="0">
    <w:p w14:paraId="730135B0" w14:textId="77777777" w:rsidR="00F855C0" w:rsidRDefault="00F855C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C9C212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22F62">
      <w:rPr>
        <w:color w:val="4F6228"/>
      </w:rPr>
      <w:t>22-23-055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22F62">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672A5"/>
    <w:rsid w:val="00175D3F"/>
    <w:rsid w:val="00176C55"/>
    <w:rsid w:val="00181A4B"/>
    <w:rsid w:val="00191F3C"/>
    <w:rsid w:val="001A1D27"/>
    <w:rsid w:val="001A3711"/>
    <w:rsid w:val="001A37FB"/>
    <w:rsid w:val="001A51ED"/>
    <w:rsid w:val="001B2E3A"/>
    <w:rsid w:val="001C3A09"/>
    <w:rsid w:val="001D6E18"/>
    <w:rsid w:val="0020058E"/>
    <w:rsid w:val="00237355"/>
    <w:rsid w:val="00241866"/>
    <w:rsid w:val="002578DB"/>
    <w:rsid w:val="00263D78"/>
    <w:rsid w:val="0026461B"/>
    <w:rsid w:val="00266820"/>
    <w:rsid w:val="0027634D"/>
    <w:rsid w:val="00280936"/>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2F65C2"/>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76B87"/>
    <w:rsid w:val="00683987"/>
    <w:rsid w:val="006970B0"/>
    <w:rsid w:val="006A5357"/>
    <w:rsid w:val="006B20A9"/>
    <w:rsid w:val="006E365C"/>
    <w:rsid w:val="006E3AF2"/>
    <w:rsid w:val="006E6680"/>
    <w:rsid w:val="006F7F90"/>
    <w:rsid w:val="00704CFF"/>
    <w:rsid w:val="00705819"/>
    <w:rsid w:val="00706745"/>
    <w:rsid w:val="007072F7"/>
    <w:rsid w:val="00714B57"/>
    <w:rsid w:val="00722F62"/>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23E7"/>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6300"/>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55C0"/>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2023-02-16T20:13:00Z</dcterms:created>
  <dcterms:modified xsi:type="dcterms:W3CDTF">2023-03-06T17:34:00Z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