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69220A3" w:rsidR="00F64260" w:rsidRPr="00A83A6C" w:rsidRDefault="00DB79E7" w:rsidP="00B862BF">
            <w:pPr>
              <w:pStyle w:val="Heading5"/>
              <w:rPr>
                <w:b/>
              </w:rPr>
            </w:pPr>
            <w:bookmarkStart w:id="0" w:name="Proposal"/>
            <w:bookmarkEnd w:id="0"/>
            <w:r>
              <w:rPr>
                <w:b/>
              </w:rPr>
              <w:t xml:space="preserve">POL 338 and </w:t>
            </w:r>
            <w:r w:rsidR="006C2593">
              <w:rPr>
                <w:b/>
              </w:rPr>
              <w:t xml:space="preserve">GEOG </w:t>
            </w:r>
            <w:r w:rsidR="001F3633">
              <w:rPr>
                <w:b/>
              </w:rPr>
              <w:t>3</w:t>
            </w:r>
            <w:r w:rsidR="00372BB5">
              <w:rPr>
                <w:b/>
              </w:rPr>
              <w:t>38</w:t>
            </w:r>
            <w:r w:rsidR="004C10DF">
              <w:rPr>
                <w:b/>
              </w:rPr>
              <w:t xml:space="preserve"> </w:t>
            </w:r>
            <w:r w:rsidR="00372BB5">
              <w:rPr>
                <w:b/>
              </w:rPr>
              <w:t>PEOPLE, HOUSES, NEIGHBORHOODS and CITIES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C988FAA" w:rsidR="00F64260" w:rsidRPr="005F2A05" w:rsidRDefault="00F64260" w:rsidP="0009458F">
            <w:pPr>
              <w:rPr>
                <w:b/>
              </w:rPr>
            </w:pPr>
            <w:bookmarkStart w:id="4" w:name="type"/>
            <w:r w:rsidRPr="005F2A05">
              <w:rPr>
                <w:b/>
              </w:rPr>
              <w:t xml:space="preserve">Course </w:t>
            </w:r>
            <w:bookmarkEnd w:id="4"/>
            <w:r w:rsidRPr="00A87611">
              <w:rPr>
                <w:b/>
              </w:rPr>
              <w:t>revision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7E403A2C" w14:textId="77777777" w:rsidR="0008114C" w:rsidRDefault="0008114C" w:rsidP="0008114C">
            <w:pPr>
              <w:rPr>
                <w:b/>
              </w:rPr>
            </w:pPr>
            <w:bookmarkStart w:id="7" w:name="Rationale"/>
            <w:bookmarkEnd w:id="7"/>
            <w:r>
              <w:rPr>
                <w:b/>
              </w:rPr>
              <w:t>1. Increase the number of course credits from three [3] to four [4</w:t>
            </w:r>
            <w:proofErr w:type="gramStart"/>
            <w:r>
              <w:rPr>
                <w:b/>
              </w:rPr>
              <w:t>];</w:t>
            </w:r>
            <w:proofErr w:type="gramEnd"/>
          </w:p>
          <w:p w14:paraId="57D400A1" w14:textId="65F67DA4" w:rsidR="0008114C" w:rsidRDefault="0008114C" w:rsidP="0008114C">
            <w:pPr>
              <w:rPr>
                <w:b/>
              </w:rPr>
            </w:pPr>
            <w:r>
              <w:rPr>
                <w:b/>
              </w:rPr>
              <w:t>2. Cross-list this geography course as a political science course, POL 338</w:t>
            </w:r>
            <w:r w:rsidR="00AF0CC7">
              <w:rPr>
                <w:b/>
              </w:rPr>
              <w:t>,</w:t>
            </w:r>
            <w:r>
              <w:rPr>
                <w:b/>
              </w:rPr>
              <w:t xml:space="preserve"> with the same course title.</w:t>
            </w:r>
          </w:p>
          <w:p w14:paraId="15DF78A3" w14:textId="085C4379" w:rsidR="0008114C" w:rsidRDefault="0008114C" w:rsidP="0008114C">
            <w:pPr>
              <w:rPr>
                <w:b/>
              </w:rPr>
            </w:pPr>
            <w:r>
              <w:rPr>
                <w:b/>
              </w:rPr>
              <w:t>3. Update prerequisite to include a 200-level POL course as an option</w:t>
            </w:r>
          </w:p>
          <w:p w14:paraId="3D25932C" w14:textId="7AC4AB8F" w:rsidR="0008114C" w:rsidRPr="0008114C" w:rsidRDefault="0008114C" w:rsidP="0008114C">
            <w:pPr>
              <w:rPr>
                <w:b/>
              </w:rPr>
            </w:pPr>
            <w:r w:rsidRPr="0008114C">
              <w:rPr>
                <w:b/>
              </w:rPr>
              <w:t xml:space="preserve">4. Update </w:t>
            </w:r>
            <w:r w:rsidR="00AF0CC7">
              <w:rPr>
                <w:b/>
              </w:rPr>
              <w:t>section “B.6-Offered” to reflect the department’s plan to offer this course every Fall</w:t>
            </w:r>
            <w:r w:rsidRPr="0008114C">
              <w:rPr>
                <w:b/>
              </w:rPr>
              <w:t>.</w:t>
            </w:r>
          </w:p>
          <w:p w14:paraId="71CFAF61" w14:textId="77777777" w:rsidR="0008114C" w:rsidRDefault="0008114C" w:rsidP="00FA6998">
            <w:pPr>
              <w:rPr>
                <w:b/>
              </w:rPr>
            </w:pPr>
          </w:p>
          <w:p w14:paraId="2FF33AD6" w14:textId="7B291320" w:rsidR="00B304F6" w:rsidRDefault="004C10DF" w:rsidP="00FA6998">
            <w:pPr>
              <w:rPr>
                <w:b/>
              </w:rPr>
            </w:pPr>
            <w:r>
              <w:rPr>
                <w:b/>
              </w:rPr>
              <w:t xml:space="preserve">With the proposed deletion of the BA in Geography, the Department of Political Science seeks to maximize existing department-wide curricular </w:t>
            </w:r>
            <w:r w:rsidR="003A4138">
              <w:rPr>
                <w:b/>
              </w:rPr>
              <w:t>opportunities</w:t>
            </w:r>
            <w:r>
              <w:rPr>
                <w:b/>
              </w:rPr>
              <w:t xml:space="preserve"> and resources </w:t>
            </w:r>
            <w:r w:rsidR="006F4D68">
              <w:rPr>
                <w:b/>
              </w:rPr>
              <w:t xml:space="preserve">for its students </w:t>
            </w:r>
            <w:r>
              <w:rPr>
                <w:b/>
              </w:rPr>
              <w:t xml:space="preserve">by </w:t>
            </w:r>
            <w:r w:rsidR="00372BB5">
              <w:rPr>
                <w:b/>
              </w:rPr>
              <w:t xml:space="preserve">cross-listing </w:t>
            </w:r>
            <w:r>
              <w:rPr>
                <w:b/>
              </w:rPr>
              <w:t xml:space="preserve">this </w:t>
            </w:r>
            <w:r w:rsidR="003A7613">
              <w:rPr>
                <w:b/>
              </w:rPr>
              <w:t xml:space="preserve">existing </w:t>
            </w:r>
            <w:r w:rsidR="00372BB5">
              <w:rPr>
                <w:b/>
              </w:rPr>
              <w:t xml:space="preserve">GEOG </w:t>
            </w:r>
            <w:r>
              <w:rPr>
                <w:b/>
              </w:rPr>
              <w:t>course</w:t>
            </w:r>
            <w:r w:rsidR="003A7613">
              <w:rPr>
                <w:b/>
              </w:rPr>
              <w:t xml:space="preserve"> </w:t>
            </w:r>
            <w:r w:rsidR="00372BB5">
              <w:rPr>
                <w:b/>
              </w:rPr>
              <w:t xml:space="preserve">as POL 338, in which capacity it will serve as </w:t>
            </w:r>
            <w:r w:rsidR="007B0249">
              <w:rPr>
                <w:b/>
              </w:rPr>
              <w:t xml:space="preserve">an </w:t>
            </w:r>
            <w:r>
              <w:rPr>
                <w:b/>
              </w:rPr>
              <w:t>elective within the BA in Political Science</w:t>
            </w:r>
            <w:r w:rsidR="00372BB5">
              <w:rPr>
                <w:b/>
              </w:rPr>
              <w:t>.</w:t>
            </w:r>
          </w:p>
          <w:p w14:paraId="237D0AAA" w14:textId="77777777" w:rsidR="00B304F6" w:rsidRDefault="00B304F6" w:rsidP="00FA6998">
            <w:pPr>
              <w:rPr>
                <w:b/>
              </w:rPr>
            </w:pPr>
          </w:p>
          <w:p w14:paraId="225F1AEB" w14:textId="2124FFFB" w:rsidR="00D21AD5" w:rsidRDefault="00372BB5" w:rsidP="00FA6998">
            <w:pPr>
              <w:rPr>
                <w:b/>
              </w:rPr>
            </w:pPr>
            <w:r>
              <w:rPr>
                <w:b/>
              </w:rPr>
              <w:t xml:space="preserve">We request a change in the number of course credits from three [3] to [4] </w:t>
            </w:r>
            <w:r w:rsidR="00A2502C">
              <w:rPr>
                <w:b/>
              </w:rPr>
              <w:t>for two reasons:  1. To reflect the addition of a major research project to the course (which will result in additional in-classroom time being apportioned weekly to small-group project work on neighborhood and housing development as well as an increased expectation of weekly homework time); and 2. to align GEOG/POL 338 with the typical credit load of the department’s courses.</w:t>
            </w:r>
          </w:p>
          <w:p w14:paraId="367B8577" w14:textId="77777777" w:rsidR="00D21AD5" w:rsidRDefault="00D21AD5" w:rsidP="00FA6998">
            <w:pPr>
              <w:rPr>
                <w:b/>
              </w:rPr>
            </w:pPr>
          </w:p>
          <w:p w14:paraId="2D51BE3C" w14:textId="43942C6D" w:rsidR="00D21AD5" w:rsidRDefault="004C10DF" w:rsidP="00FA6998">
            <w:pPr>
              <w:rPr>
                <w:b/>
              </w:rPr>
            </w:pPr>
            <w:r>
              <w:rPr>
                <w:b/>
              </w:rPr>
              <w:t xml:space="preserve">Courses in </w:t>
            </w:r>
            <w:r w:rsidR="00A2502C">
              <w:rPr>
                <w:b/>
              </w:rPr>
              <w:t>urban planning and policy development—at the neighborhood and citywide scales—</w:t>
            </w:r>
            <w:r w:rsidR="00D21AD5">
              <w:rPr>
                <w:b/>
              </w:rPr>
              <w:t>a</w:t>
            </w:r>
            <w:r>
              <w:rPr>
                <w:b/>
              </w:rPr>
              <w:t xml:space="preserve">re relevant to </w:t>
            </w:r>
            <w:r w:rsidR="00427060">
              <w:rPr>
                <w:b/>
              </w:rPr>
              <w:t xml:space="preserve">the study of the </w:t>
            </w:r>
            <w:r w:rsidR="00A2502C">
              <w:rPr>
                <w:b/>
              </w:rPr>
              <w:t>political environments in which housing availability, accessibility and affordability</w:t>
            </w:r>
            <w:r w:rsidR="00B304F6">
              <w:rPr>
                <w:b/>
              </w:rPr>
              <w:t xml:space="preserve"> are determined</w:t>
            </w:r>
            <w:r w:rsidR="00A2502C">
              <w:rPr>
                <w:b/>
              </w:rPr>
              <w:t xml:space="preserve">. </w:t>
            </w:r>
            <w:r w:rsidR="00B304F6">
              <w:rPr>
                <w:b/>
              </w:rPr>
              <w:t xml:space="preserve"> </w:t>
            </w:r>
          </w:p>
          <w:p w14:paraId="127E514C" w14:textId="77777777" w:rsidR="00991A63" w:rsidRDefault="00991A63" w:rsidP="00FA6998">
            <w:pPr>
              <w:rPr>
                <w:b/>
              </w:rPr>
            </w:pPr>
          </w:p>
          <w:p w14:paraId="6FFF27B1" w14:textId="451FCF8E" w:rsidR="00991A63" w:rsidRDefault="008C097D" w:rsidP="00FA6998">
            <w:pPr>
              <w:rPr>
                <w:b/>
              </w:rPr>
            </w:pPr>
            <w:r>
              <w:rPr>
                <w:b/>
              </w:rPr>
              <w:t>All aspects of</w:t>
            </w:r>
            <w:r w:rsidR="006F4D68">
              <w:rPr>
                <w:b/>
              </w:rPr>
              <w:t xml:space="preserve"> </w:t>
            </w:r>
            <w:r>
              <w:rPr>
                <w:b/>
              </w:rPr>
              <w:t xml:space="preserve">the </w:t>
            </w:r>
            <w:r w:rsidR="00E52AB9">
              <w:rPr>
                <w:b/>
              </w:rPr>
              <w:t xml:space="preserve">course’s </w:t>
            </w:r>
            <w:r w:rsidR="006F4D68">
              <w:rPr>
                <w:b/>
              </w:rPr>
              <w:t>content</w:t>
            </w:r>
            <w:r w:rsidR="00E52AB9">
              <w:rPr>
                <w:b/>
              </w:rPr>
              <w:t>, course learning objectives, and methods of student assessment</w:t>
            </w:r>
            <w:r w:rsidR="006F4D68">
              <w:rPr>
                <w:b/>
              </w:rPr>
              <w:t xml:space="preserve"> will remain unchanged</w:t>
            </w:r>
            <w:r w:rsidR="00B304F6">
              <w:rPr>
                <w:b/>
              </w:rPr>
              <w:t xml:space="preserve">, </w:t>
            </w:r>
            <w:proofErr w:type="gramStart"/>
            <w:r w:rsidR="00B304F6">
              <w:rPr>
                <w:b/>
              </w:rPr>
              <w:t>with the exception of</w:t>
            </w:r>
            <w:proofErr w:type="gramEnd"/>
            <w:r w:rsidR="00B304F6">
              <w:rPr>
                <w:b/>
              </w:rPr>
              <w:t xml:space="preserve"> the major </w:t>
            </w:r>
            <w:r w:rsidR="00B304F6">
              <w:rPr>
                <w:b/>
              </w:rPr>
              <w:lastRenderedPageBreak/>
              <w:t>research project whose purpose is to instruct students in the procedures by which neighborhood development plans are designed and implemented by municipal governments</w:t>
            </w:r>
            <w:r w:rsidR="006F4D68">
              <w:rPr>
                <w:b/>
              </w:rPr>
              <w:t>.</w:t>
            </w:r>
          </w:p>
          <w:p w14:paraId="41EFFC68" w14:textId="77777777" w:rsidR="00F64260" w:rsidRPr="00FA6998" w:rsidRDefault="00F64260" w:rsidP="00FE26F1">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6310E9" w14:textId="77777777" w:rsidR="002D666D" w:rsidRDefault="002D666D" w:rsidP="00517DB2">
            <w:pPr>
              <w:rPr>
                <w:b/>
              </w:rPr>
            </w:pPr>
            <w:bookmarkStart w:id="8" w:name="student_impact"/>
            <w:bookmarkEnd w:id="8"/>
          </w:p>
          <w:p w14:paraId="57ED0C60" w14:textId="7D9EBD58" w:rsidR="002D666D" w:rsidRDefault="002D666D" w:rsidP="00517DB2">
            <w:pPr>
              <w:rPr>
                <w:b/>
              </w:rPr>
            </w:pPr>
            <w:r>
              <w:rPr>
                <w:b/>
              </w:rPr>
              <w:t>To be successful</w:t>
            </w:r>
            <w:r w:rsidR="00C81891">
              <w:rPr>
                <w:b/>
              </w:rPr>
              <w:t xml:space="preserve"> as politicians, legal professionals, nonprofit leaders</w:t>
            </w:r>
            <w:r>
              <w:rPr>
                <w:b/>
              </w:rPr>
              <w:t xml:space="preserve">, </w:t>
            </w:r>
            <w:r w:rsidR="00C81891">
              <w:rPr>
                <w:b/>
              </w:rPr>
              <w:t xml:space="preserve">community planners, policy researchers, and social change agents/advocates (among other professions), </w:t>
            </w:r>
            <w:r w:rsidR="00B304F6">
              <w:rPr>
                <w:b/>
              </w:rPr>
              <w:t xml:space="preserve">POL/GEOG 338 </w:t>
            </w:r>
            <w:r>
              <w:rPr>
                <w:b/>
              </w:rPr>
              <w:t>students will benefit from a</w:t>
            </w:r>
            <w:r w:rsidR="00991A63">
              <w:rPr>
                <w:b/>
              </w:rPr>
              <w:t xml:space="preserve"> </w:t>
            </w:r>
            <w:r w:rsidR="00B304F6">
              <w:rPr>
                <w:b/>
              </w:rPr>
              <w:t xml:space="preserve">comprehensive understanding </w:t>
            </w:r>
            <w:r>
              <w:rPr>
                <w:b/>
              </w:rPr>
              <w:t xml:space="preserve">of </w:t>
            </w:r>
            <w:r w:rsidR="00B304F6">
              <w:rPr>
                <w:b/>
              </w:rPr>
              <w:t>housing and neighborhood development processes.</w:t>
            </w:r>
          </w:p>
          <w:p w14:paraId="01B82A93" w14:textId="77777777" w:rsidR="002D666D" w:rsidRDefault="002D666D" w:rsidP="00517DB2">
            <w:pPr>
              <w:rPr>
                <w:b/>
              </w:rPr>
            </w:pPr>
          </w:p>
          <w:p w14:paraId="4D810909" w14:textId="1502D312" w:rsidR="005B037C" w:rsidRDefault="00991A63" w:rsidP="00517DB2">
            <w:pPr>
              <w:rPr>
                <w:b/>
              </w:rPr>
            </w:pPr>
            <w:r>
              <w:rPr>
                <w:b/>
              </w:rPr>
              <w:t xml:space="preserve">The </w:t>
            </w:r>
            <w:r w:rsidR="0035674C">
              <w:rPr>
                <w:b/>
              </w:rPr>
              <w:t>number</w:t>
            </w:r>
            <w:r>
              <w:rPr>
                <w:b/>
              </w:rPr>
              <w:t xml:space="preserve"> of students who may benefit from the cross-listing of this course will be in the range of </w:t>
            </w:r>
            <w:r w:rsidR="00B304F6">
              <w:rPr>
                <w:b/>
              </w:rPr>
              <w:t>6</w:t>
            </w:r>
            <w:r w:rsidR="008C097D">
              <w:rPr>
                <w:b/>
              </w:rPr>
              <w:t>-</w:t>
            </w:r>
            <w:r w:rsidR="00B304F6">
              <w:rPr>
                <w:b/>
              </w:rPr>
              <w:t>8</w:t>
            </w:r>
            <w:r>
              <w:rPr>
                <w:b/>
              </w:rPr>
              <w:t xml:space="preserve"> </w:t>
            </w:r>
            <w:r w:rsidR="0035674C">
              <w:rPr>
                <w:b/>
              </w:rPr>
              <w:t xml:space="preserve">POL </w:t>
            </w:r>
            <w:r>
              <w:rPr>
                <w:b/>
              </w:rPr>
              <w:t xml:space="preserve">students </w:t>
            </w:r>
            <w:r w:rsidR="00B304F6">
              <w:rPr>
                <w:b/>
              </w:rPr>
              <w:t>annually</w:t>
            </w:r>
            <w:r>
              <w:rPr>
                <w:b/>
              </w:rPr>
              <w:t xml:space="preserve"> in addition to students who are pursuing the existing Minor in Geography</w:t>
            </w:r>
            <w:r w:rsidR="007B249E">
              <w:rPr>
                <w:b/>
              </w:rPr>
              <w:t>.</w:t>
            </w:r>
          </w:p>
          <w:p w14:paraId="5DC0F2DD" w14:textId="77777777" w:rsidR="005B037C" w:rsidRDefault="005B037C" w:rsidP="00517DB2">
            <w:pPr>
              <w:rPr>
                <w:b/>
              </w:rPr>
            </w:pPr>
          </w:p>
          <w:p w14:paraId="0194753B" w14:textId="7974673D" w:rsidR="00517DB2" w:rsidRPr="00B649C4"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approval of this cross-list</w:t>
            </w:r>
            <w:r w:rsidR="00EF5FD0">
              <w:rPr>
                <w:b/>
              </w:rPr>
              <w:t>ed course</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2E1B25B" w:rsidR="00517DB2" w:rsidRPr="00B649C4" w:rsidRDefault="007B249E" w:rsidP="00517DB2">
            <w:pPr>
              <w:rPr>
                <w:b/>
              </w:rPr>
            </w:pPr>
            <w:bookmarkStart w:id="9" w:name="prog_impact"/>
            <w:bookmarkEnd w:id="9"/>
            <w:r>
              <w:rPr>
                <w:b/>
              </w:rPr>
              <w:t>This is an existing course</w:t>
            </w:r>
            <w:r w:rsidR="00DF36DE">
              <w:rPr>
                <w:b/>
              </w:rPr>
              <w:t xml:space="preserve"> </w:t>
            </w:r>
            <w:r>
              <w:rPr>
                <w:b/>
              </w:rPr>
              <w:t xml:space="preserve">and, in </w:t>
            </w:r>
            <w:r w:rsidR="00DF36DE">
              <w:rPr>
                <w:b/>
              </w:rPr>
              <w:t>terms of its content</w:t>
            </w:r>
            <w:r>
              <w:rPr>
                <w:b/>
              </w:rPr>
              <w:t>, will remain unchanged</w:t>
            </w:r>
            <w:r w:rsidR="00B304F6">
              <w:rPr>
                <w:b/>
              </w:rPr>
              <w:t xml:space="preserve"> </w:t>
            </w:r>
            <w:proofErr w:type="gramStart"/>
            <w:r w:rsidR="00B304F6">
              <w:rPr>
                <w:b/>
              </w:rPr>
              <w:t>with the exception of</w:t>
            </w:r>
            <w:proofErr w:type="gramEnd"/>
            <w:r w:rsidR="00B304F6">
              <w:rPr>
                <w:b/>
              </w:rPr>
              <w:t xml:space="preserve"> the addition of a major research project (which will take the form of students working to develop a draft neighborhood plan)</w:t>
            </w:r>
            <w:r w:rsidR="008C097D">
              <w:rPr>
                <w:b/>
              </w:rPr>
              <w:t xml:space="preserve">.  GEOG and POL will cross-list the course </w:t>
            </w:r>
            <w:r w:rsidR="00A22483">
              <w:rPr>
                <w:b/>
              </w:rPr>
              <w:t xml:space="preserve">and use it in both the POL major and GEOG minor; it is also a </w:t>
            </w:r>
            <w:r w:rsidR="00FB4A0C">
              <w:rPr>
                <w:b/>
              </w:rPr>
              <w:t>restricted</w:t>
            </w:r>
            <w:r w:rsidR="00A22483">
              <w:rPr>
                <w:b/>
              </w:rPr>
              <w:t xml:space="preserve"> electiv</w:t>
            </w:r>
            <w:r w:rsidR="00653C39">
              <w:rPr>
                <w:b/>
              </w:rPr>
              <w:t>e</w:t>
            </w:r>
            <w:r w:rsidR="00A22483">
              <w:rPr>
                <w:b/>
              </w:rPr>
              <w:t xml:space="preserve"> in ENST major and minor and GLOB major and minor, </w:t>
            </w:r>
            <w:r w:rsidR="00653C39">
              <w:rPr>
                <w:b/>
              </w:rPr>
              <w:t xml:space="preserve">and Secondary Ed. Social Studies, </w:t>
            </w:r>
            <w:r w:rsidR="00A22483">
              <w:rPr>
                <w:b/>
              </w:rPr>
              <w:t xml:space="preserve">and they will be informed </w:t>
            </w:r>
            <w:proofErr w:type="gramStart"/>
            <w:r w:rsidR="00A22483">
              <w:rPr>
                <w:b/>
              </w:rPr>
              <w:t>so as to</w:t>
            </w:r>
            <w:proofErr w:type="gramEnd"/>
            <w:r w:rsidR="00A22483">
              <w:rPr>
                <w:b/>
              </w:rPr>
              <w:t xml:space="preserve"> update their programs with this additional credit for the course—it will not affect any program totals.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50B18EEB" w:rsidR="00F64260" w:rsidRPr="009F029C" w:rsidRDefault="00F64260" w:rsidP="001429AA">
            <w:pPr>
              <w:spacing w:line="240" w:lineRule="auto"/>
              <w:rPr>
                <w:b/>
              </w:rPr>
            </w:pPr>
            <w:bookmarkStart w:id="12" w:name="cours_title"/>
            <w:bookmarkEnd w:id="12"/>
          </w:p>
        </w:tc>
        <w:tc>
          <w:tcPr>
            <w:tcW w:w="3840" w:type="dxa"/>
            <w:noWrap/>
          </w:tcPr>
          <w:p w14:paraId="6540064C" w14:textId="014D9B8D" w:rsidR="00F64260" w:rsidRPr="009F029C" w:rsidRDefault="00CF56A2" w:rsidP="001429AA">
            <w:pPr>
              <w:spacing w:line="240" w:lineRule="auto"/>
              <w:rPr>
                <w:b/>
              </w:rPr>
            </w:pPr>
            <w:r>
              <w:rPr>
                <w:b/>
              </w:rPr>
              <w:t xml:space="preserve">GEOG </w:t>
            </w:r>
            <w:r w:rsidR="00B304F6">
              <w:rPr>
                <w:b/>
              </w:rPr>
              <w:t>338</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165DB3C9" w:rsidR="00F64260" w:rsidRPr="009F029C" w:rsidRDefault="00CF56A2" w:rsidP="001429AA">
            <w:pPr>
              <w:spacing w:line="240" w:lineRule="auto"/>
              <w:rPr>
                <w:b/>
              </w:rPr>
            </w:pPr>
            <w:r>
              <w:rPr>
                <w:b/>
              </w:rPr>
              <w:t xml:space="preserve">POL </w:t>
            </w:r>
            <w:r w:rsidR="00B304F6">
              <w:rPr>
                <w:b/>
              </w:rPr>
              <w:t>338</w:t>
            </w:r>
            <w:r w:rsidR="0035674C">
              <w:rPr>
                <w:b/>
              </w:rPr>
              <w:t xml:space="preserve"> </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381D643" w:rsidR="00F64260" w:rsidRPr="009F029C" w:rsidRDefault="00F64260" w:rsidP="001429AA">
            <w:pPr>
              <w:spacing w:line="240" w:lineRule="auto"/>
              <w:rPr>
                <w:b/>
              </w:rPr>
            </w:pPr>
            <w:bookmarkStart w:id="13" w:name="title"/>
            <w:bookmarkEnd w:id="13"/>
          </w:p>
        </w:tc>
        <w:tc>
          <w:tcPr>
            <w:tcW w:w="3840" w:type="dxa"/>
            <w:noWrap/>
          </w:tcPr>
          <w:p w14:paraId="2B9DB727" w14:textId="1F140E8F" w:rsidR="00F64260" w:rsidRPr="009F029C" w:rsidRDefault="00CF56A2" w:rsidP="001429AA">
            <w:pPr>
              <w:spacing w:line="240" w:lineRule="auto"/>
              <w:rPr>
                <w:b/>
              </w:rPr>
            </w:pPr>
            <w:r>
              <w:rPr>
                <w:b/>
              </w:rPr>
              <w:t>P</w:t>
            </w:r>
            <w:r w:rsidR="00B304F6">
              <w:rPr>
                <w:b/>
              </w:rPr>
              <w:t>eople, Houses, Neighborhoods and Cities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86905B7" w14:textId="77777777" w:rsidR="0008114C" w:rsidRPr="00FE26F1" w:rsidRDefault="0008114C" w:rsidP="0008114C">
            <w:pPr>
              <w:pStyle w:val="sc-BodyText"/>
              <w:rPr>
                <w:rFonts w:asciiTheme="minorHAnsi" w:hAnsiTheme="minorHAnsi"/>
                <w:b/>
                <w:bCs/>
                <w:sz w:val="22"/>
                <w:szCs w:val="22"/>
              </w:rPr>
            </w:pPr>
            <w:bookmarkStart w:id="14" w:name="description"/>
            <w:bookmarkEnd w:id="14"/>
            <w:r w:rsidRPr="00FE26F1">
              <w:rPr>
                <w:rFonts w:asciiTheme="minorHAnsi" w:hAnsiTheme="minorHAnsi"/>
                <w:b/>
                <w:bCs/>
                <w:sz w:val="22"/>
                <w:szCs w:val="22"/>
              </w:rPr>
              <w:t>City planning and housing development are studied within the context of how and why neighborhoods change over time. Attention is given to land use plans, zoning maps, and the city building process.</w:t>
            </w:r>
          </w:p>
          <w:p w14:paraId="7D376918" w14:textId="77777777" w:rsidR="00F64260" w:rsidRPr="00FE26F1" w:rsidRDefault="00F64260" w:rsidP="009F029C">
            <w:pPr>
              <w:tabs>
                <w:tab w:val="left" w:pos="690"/>
              </w:tabs>
              <w:spacing w:line="240" w:lineRule="auto"/>
              <w:rPr>
                <w:rFonts w:asciiTheme="minorHAnsi" w:hAnsiTheme="minorHAnsi"/>
                <w:b/>
                <w:bCs/>
              </w:rPr>
            </w:pPr>
          </w:p>
        </w:tc>
        <w:tc>
          <w:tcPr>
            <w:tcW w:w="3840" w:type="dxa"/>
            <w:noWrap/>
          </w:tcPr>
          <w:p w14:paraId="51C7BE85" w14:textId="3D1A493C" w:rsidR="00F64260" w:rsidRPr="00FE26F1" w:rsidRDefault="0008114C" w:rsidP="0008114C">
            <w:pPr>
              <w:pStyle w:val="sc-BodyText"/>
              <w:rPr>
                <w:rFonts w:asciiTheme="minorHAnsi" w:hAnsiTheme="minorHAnsi"/>
                <w:b/>
                <w:bCs/>
                <w:sz w:val="22"/>
                <w:szCs w:val="22"/>
              </w:rPr>
            </w:pPr>
            <w:r w:rsidRPr="00FE26F1">
              <w:rPr>
                <w:rFonts w:asciiTheme="minorHAnsi" w:hAnsiTheme="minorHAnsi"/>
                <w:b/>
                <w:bCs/>
                <w:sz w:val="22"/>
                <w:szCs w:val="22"/>
              </w:rPr>
              <w:t xml:space="preserve">City planning and housing development are studied within the context of how and why neighborhoods change over time. Attention is given to land use plans, zoning maps, and the city building process. </w:t>
            </w:r>
            <w:r w:rsidR="004A5FCC" w:rsidRPr="00FE26F1">
              <w:rPr>
                <w:rFonts w:asciiTheme="minorHAnsi" w:hAnsiTheme="minorHAnsi"/>
                <w:b/>
                <w:bCs/>
                <w:sz w:val="22"/>
                <w:szCs w:val="22"/>
              </w:rPr>
              <w:t xml:space="preserve">Students cannot receive credit for both GEOG </w:t>
            </w:r>
            <w:r w:rsidR="00B304F6" w:rsidRPr="00FE26F1">
              <w:rPr>
                <w:rFonts w:asciiTheme="minorHAnsi" w:hAnsiTheme="minorHAnsi"/>
                <w:b/>
                <w:bCs/>
                <w:sz w:val="22"/>
                <w:szCs w:val="22"/>
              </w:rPr>
              <w:t>338</w:t>
            </w:r>
            <w:r w:rsidR="004A5FCC" w:rsidRPr="00FE26F1">
              <w:rPr>
                <w:rFonts w:asciiTheme="minorHAnsi" w:hAnsiTheme="minorHAnsi"/>
                <w:b/>
                <w:bCs/>
                <w:sz w:val="22"/>
                <w:szCs w:val="22"/>
              </w:rPr>
              <w:t xml:space="preserve"> and POL </w:t>
            </w:r>
            <w:r w:rsidR="00B304F6" w:rsidRPr="00FE26F1">
              <w:rPr>
                <w:rFonts w:asciiTheme="minorHAnsi" w:hAnsiTheme="minorHAnsi"/>
                <w:b/>
                <w:bCs/>
                <w:sz w:val="22"/>
                <w:szCs w:val="22"/>
              </w:rPr>
              <w:t>338</w:t>
            </w:r>
            <w:r w:rsidRPr="00FE26F1">
              <w:rPr>
                <w:rFonts w:asciiTheme="minorHAnsi" w:hAnsiTheme="minorHAnsi"/>
                <w:b/>
                <w:bCs/>
                <w:sz w:val="22"/>
                <w:szCs w:val="22"/>
              </w:rPr>
              <w:t>.</w:t>
            </w:r>
            <w:r w:rsidR="00FE26F1">
              <w:rPr>
                <w:rFonts w:asciiTheme="minorHAnsi" w:hAnsiTheme="minorHAnsi"/>
                <w:b/>
                <w:bCs/>
                <w:sz w:val="22"/>
                <w:szCs w:val="22"/>
              </w:rPr>
              <w:t xml:space="preserve"> </w:t>
            </w:r>
            <w:r w:rsidR="00FE26F1">
              <w:rPr>
                <w:b/>
              </w:rPr>
              <w:t>[last sentence is not included in word count]</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52300CE" w:rsidR="00F64260" w:rsidRPr="009F029C" w:rsidRDefault="00B67F02" w:rsidP="001429AA">
            <w:pPr>
              <w:spacing w:line="240" w:lineRule="auto"/>
              <w:rPr>
                <w:b/>
              </w:rPr>
            </w:pPr>
            <w:bookmarkStart w:id="15" w:name="prereqs"/>
            <w:bookmarkEnd w:id="15"/>
            <w:r>
              <w:rPr>
                <w:b/>
              </w:rPr>
              <w:t>Any 100- or 200-level geography course or consent of program director</w:t>
            </w:r>
          </w:p>
        </w:tc>
        <w:tc>
          <w:tcPr>
            <w:tcW w:w="3840" w:type="dxa"/>
            <w:noWrap/>
          </w:tcPr>
          <w:p w14:paraId="4DA91B44" w14:textId="7D751B2C" w:rsidR="00F64260" w:rsidRPr="009F029C" w:rsidRDefault="00EB7CD2" w:rsidP="001429AA">
            <w:pPr>
              <w:spacing w:line="240" w:lineRule="auto"/>
              <w:rPr>
                <w:b/>
              </w:rPr>
            </w:pPr>
            <w:r>
              <w:rPr>
                <w:b/>
              </w:rPr>
              <w:t xml:space="preserve">Any 100- or 200-level </w:t>
            </w:r>
            <w:r w:rsidR="004F522A">
              <w:rPr>
                <w:b/>
              </w:rPr>
              <w:t xml:space="preserve">political science or </w:t>
            </w:r>
            <w:r>
              <w:rPr>
                <w:b/>
              </w:rPr>
              <w:t>geography course or consent of program director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2AE292FD" w:rsidR="00F64260" w:rsidRPr="009F029C" w:rsidRDefault="00000000" w:rsidP="000A36CD">
            <w:pPr>
              <w:spacing w:line="240" w:lineRule="auto"/>
              <w:rPr>
                <w:b/>
                <w:sz w:val="20"/>
              </w:rPr>
            </w:pPr>
            <w:hyperlink w:anchor="As_needed" w:tooltip="Use sparingly; it is better for students to have some idea of when a course will be offered even if it is only every other year" w:history="1">
              <w:r w:rsidR="00F64260" w:rsidRPr="006B20A9">
                <w:rPr>
                  <w:rStyle w:val="Hyperlink"/>
                  <w:b/>
                  <w:sz w:val="20"/>
                </w:rPr>
                <w:t>As needed</w:t>
              </w:r>
            </w:hyperlink>
          </w:p>
        </w:tc>
        <w:tc>
          <w:tcPr>
            <w:tcW w:w="3840" w:type="dxa"/>
            <w:noWrap/>
          </w:tcPr>
          <w:p w14:paraId="6C8D2300" w14:textId="2C347E66" w:rsidR="0035674C" w:rsidRPr="009F029C" w:rsidRDefault="00D308E8" w:rsidP="0035674C">
            <w:pPr>
              <w:spacing w:line="240" w:lineRule="auto"/>
              <w:rPr>
                <w:b/>
                <w:sz w:val="20"/>
              </w:rPr>
            </w:pPr>
            <w:r>
              <w:rPr>
                <w:b/>
                <w:sz w:val="20"/>
              </w:rPr>
              <w:t>Fall</w:t>
            </w:r>
          </w:p>
          <w:p w14:paraId="67D1137F" w14:textId="583DD902"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3619D17B" w:rsidR="00F64260" w:rsidRPr="009F029C" w:rsidRDefault="00800883" w:rsidP="001429AA">
            <w:pPr>
              <w:spacing w:line="240" w:lineRule="auto"/>
              <w:rPr>
                <w:b/>
              </w:rPr>
            </w:pPr>
            <w:bookmarkStart w:id="16" w:name="contacthours"/>
            <w:bookmarkEnd w:id="16"/>
            <w:r>
              <w:rPr>
                <w:b/>
              </w:rPr>
              <w:t>3</w:t>
            </w:r>
          </w:p>
        </w:tc>
        <w:tc>
          <w:tcPr>
            <w:tcW w:w="3840" w:type="dxa"/>
            <w:noWrap/>
          </w:tcPr>
          <w:p w14:paraId="57D144B9" w14:textId="3D3AFEFB" w:rsidR="00F64260" w:rsidRPr="009F029C" w:rsidRDefault="002C1C19"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17863A3F" w:rsidR="00F64260" w:rsidRPr="009F029C" w:rsidRDefault="00800883" w:rsidP="001429AA">
            <w:pPr>
              <w:spacing w:line="240" w:lineRule="auto"/>
              <w:rPr>
                <w:b/>
              </w:rPr>
            </w:pPr>
            <w:bookmarkStart w:id="17" w:name="credits"/>
            <w:bookmarkEnd w:id="17"/>
            <w:r>
              <w:rPr>
                <w:b/>
              </w:rPr>
              <w:t>3</w:t>
            </w:r>
          </w:p>
        </w:tc>
        <w:tc>
          <w:tcPr>
            <w:tcW w:w="3840" w:type="dxa"/>
            <w:noWrap/>
          </w:tcPr>
          <w:p w14:paraId="7DD4CAFF" w14:textId="61D63DE4" w:rsidR="00F64260" w:rsidRPr="009F029C" w:rsidRDefault="002C1C19"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1272483D" w:rsidR="00F64260" w:rsidRPr="009F029C" w:rsidRDefault="0035674C" w:rsidP="001429AA">
            <w:pPr>
              <w:spacing w:line="240" w:lineRule="auto"/>
              <w:rPr>
                <w:rStyle w:val="TEXT"/>
              </w:rPr>
            </w:pPr>
            <w:bookmarkStart w:id="18" w:name="differences"/>
            <w:bookmarkEnd w:id="18"/>
            <w:r>
              <w:rPr>
                <w:rStyle w:val="TEXT"/>
              </w:rPr>
              <w:t>N/A</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4FC447B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53E33DB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3A761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FE8A9A" w14:textId="51EB609C" w:rsidR="00E1352D" w:rsidRPr="009F029C" w:rsidRDefault="00E1352D" w:rsidP="00E1352D">
            <w:pPr>
              <w:spacing w:line="240" w:lineRule="auto"/>
              <w:rPr>
                <w:b/>
                <w:sz w:val="20"/>
              </w:rPr>
            </w:pPr>
            <w:r>
              <w:rPr>
                <w:b/>
                <w:sz w:val="20"/>
              </w:rPr>
              <w:t>O</w:t>
            </w:r>
            <w:r w:rsidR="005E2D3D">
              <w:rPr>
                <w:b/>
                <w:sz w:val="20"/>
              </w:rPr>
              <w:t xml:space="preserve">n campus </w:t>
            </w:r>
          </w:p>
          <w:p w14:paraId="50180751" w14:textId="2282298F" w:rsidR="005E2D3D" w:rsidRPr="009F029C" w:rsidRDefault="005E2D3D" w:rsidP="003A76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3394B083" w:rsidR="00F64260" w:rsidRPr="009F029C" w:rsidRDefault="00B67F02" w:rsidP="001A51ED">
            <w:pPr>
              <w:spacing w:line="240" w:lineRule="auto"/>
              <w:rPr>
                <w:b/>
                <w:sz w:val="20"/>
              </w:rPr>
            </w:pPr>
            <w:r>
              <w:rPr>
                <w:b/>
                <w:sz w:val="20"/>
              </w:rPr>
              <w:t xml:space="preserve">GEOG </w:t>
            </w:r>
            <w:r w:rsidR="00F44FE6">
              <w:rPr>
                <w:b/>
                <w:sz w:val="20"/>
              </w:rPr>
              <w:t>338</w:t>
            </w:r>
            <w:r>
              <w:rPr>
                <w:b/>
                <w:sz w:val="20"/>
              </w:rPr>
              <w:t xml:space="preserve"> will remain an elective within the Minor in Geography.  </w:t>
            </w:r>
            <w:r w:rsidR="006D03B0">
              <w:rPr>
                <w:b/>
                <w:sz w:val="20"/>
              </w:rPr>
              <w:t xml:space="preserve">POL </w:t>
            </w:r>
            <w:r w:rsidR="00D120EA">
              <w:rPr>
                <w:b/>
                <w:sz w:val="20"/>
              </w:rPr>
              <w:t>338</w:t>
            </w:r>
            <w:r w:rsidR="006D03B0">
              <w:rPr>
                <w:b/>
                <w:sz w:val="20"/>
              </w:rPr>
              <w:t xml:space="preserve"> will be a </w:t>
            </w:r>
            <w:r w:rsidR="0008114C">
              <w:rPr>
                <w:b/>
                <w:sz w:val="20"/>
              </w:rPr>
              <w:t>restricted</w:t>
            </w:r>
            <w:r w:rsidR="00E6601B">
              <w:rPr>
                <w:b/>
                <w:sz w:val="20"/>
              </w:rPr>
              <w:t xml:space="preserve"> e</w:t>
            </w:r>
            <w:r w:rsidR="00837253" w:rsidRPr="009F029C">
              <w:rPr>
                <w:b/>
                <w:sz w:val="20"/>
              </w:rPr>
              <w:t>lective</w:t>
            </w:r>
            <w:r w:rsidR="00E6601B">
              <w:rPr>
                <w:b/>
                <w:sz w:val="20"/>
              </w:rPr>
              <w:t xml:space="preserve"> within the BA in Political Science</w:t>
            </w:r>
            <w:r w:rsidR="0008114C">
              <w:rPr>
                <w:b/>
                <w:sz w:val="20"/>
              </w:rPr>
              <w:t xml:space="preserve">, and a free elective </w:t>
            </w:r>
            <w:r w:rsidR="00FE26F1">
              <w:rPr>
                <w:b/>
                <w:sz w:val="20"/>
              </w:rPr>
              <w:t>to anyone else</w:t>
            </w:r>
            <w:r w:rsidR="0008114C">
              <w:rPr>
                <w:b/>
                <w:sz w:val="20"/>
              </w:rPr>
              <w:t>.</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B537DD3" w:rsidR="00F64260" w:rsidRPr="009F029C" w:rsidRDefault="00F64260" w:rsidP="001429AA">
            <w:pPr>
              <w:spacing w:line="240" w:lineRule="auto"/>
              <w:rPr>
                <w:b/>
              </w:rPr>
            </w:pP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0E1D937E" w:rsidR="00CC3BBF" w:rsidRPr="009F029C" w:rsidRDefault="00CC3BBF" w:rsidP="00CC3BBF">
            <w:pPr>
              <w:rPr>
                <w:b/>
                <w:sz w:val="20"/>
              </w:rPr>
            </w:pPr>
            <w:bookmarkStart w:id="21" w:name="ge"/>
            <w:bookmarkEnd w:id="21"/>
          </w:p>
        </w:tc>
        <w:tc>
          <w:tcPr>
            <w:tcW w:w="3840" w:type="dxa"/>
            <w:noWrap/>
          </w:tcPr>
          <w:p w14:paraId="45B135E3" w14:textId="7D0755D6" w:rsidR="00CC3BBF" w:rsidRPr="009F029C" w:rsidRDefault="00B67F02" w:rsidP="00CC3BBF">
            <w:pPr>
              <w:spacing w:line="240" w:lineRule="auto"/>
              <w:rPr>
                <w:b/>
                <w:sz w:val="20"/>
              </w:rPr>
            </w:pPr>
            <w:r>
              <w:rPr>
                <w:b/>
              </w:rPr>
              <w:t>NO</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FAFFB34" w:rsidR="00CC3BBF" w:rsidRDefault="00CC3BBF" w:rsidP="00CC3BBF">
            <w:pPr>
              <w:rPr>
                <w:b/>
              </w:rPr>
            </w:pP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08114C">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06D41F81"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4C0C16D1"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090CD320"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6516429A" w:rsidR="00F64260" w:rsidRDefault="00E6601B">
            <w:pPr>
              <w:spacing w:line="240" w:lineRule="auto"/>
            </w:pPr>
            <w:bookmarkStart w:id="25" w:name="outcomes"/>
            <w:bookmarkEnd w:id="25"/>
            <w:r>
              <w:t xml:space="preserve">Unchanged from </w:t>
            </w:r>
            <w:r w:rsidR="00B67F02">
              <w:t xml:space="preserve">existing </w:t>
            </w:r>
            <w:r>
              <w:t xml:space="preserve">GEOG </w:t>
            </w:r>
            <w:r w:rsidR="00B67F02">
              <w:t>3</w:t>
            </w:r>
            <w:r w:rsidR="007C42BA">
              <w:t>38</w:t>
            </w:r>
          </w:p>
        </w:tc>
        <w:tc>
          <w:tcPr>
            <w:tcW w:w="1894" w:type="dxa"/>
          </w:tcPr>
          <w:p w14:paraId="0A045709" w14:textId="13A1657E" w:rsidR="00F64260" w:rsidRDefault="00E6601B">
            <w:pPr>
              <w:spacing w:line="240" w:lineRule="auto"/>
            </w:pPr>
            <w:r>
              <w:t>N/A</w:t>
            </w:r>
          </w:p>
        </w:tc>
        <w:tc>
          <w:tcPr>
            <w:tcW w:w="4693" w:type="dxa"/>
          </w:tcPr>
          <w:p w14:paraId="638BB382" w14:textId="07E46DC7" w:rsidR="00F64260" w:rsidRDefault="00E6601B" w:rsidP="00AE7A3D">
            <w:pPr>
              <w:spacing w:line="240" w:lineRule="auto"/>
            </w:pPr>
            <w:r>
              <w:t xml:space="preserve">Unchanged from </w:t>
            </w:r>
            <w:r w:rsidR="00B67F02">
              <w:t xml:space="preserve">existing </w:t>
            </w:r>
            <w:r>
              <w:t xml:space="preserve">GEOG </w:t>
            </w:r>
            <w:r w:rsidR="00B67F02">
              <w:t>3</w:t>
            </w:r>
            <w:r w:rsidR="00470CFD">
              <w:t>38</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59075AC3" w:rsidR="00F64260" w:rsidRPr="00E6601B" w:rsidRDefault="004313E6" w:rsidP="000556B3">
            <w:pPr>
              <w:keepNext/>
              <w:spacing w:line="240" w:lineRule="auto"/>
            </w:pPr>
            <w:r w:rsidRPr="00E6601B">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 xml:space="preserve">Unchanged from existing </w:t>
            </w:r>
            <w:r w:rsidR="00E6601B" w:rsidRPr="00B67F02">
              <w:rPr>
                <w:rStyle w:val="Hyperlink"/>
                <w:color w:val="auto"/>
              </w:rPr>
              <w:t>GEO</w:t>
            </w:r>
            <w:r w:rsidR="00B67F02" w:rsidRPr="00B67F02">
              <w:rPr>
                <w:rStyle w:val="Hyperlink"/>
                <w:color w:val="auto"/>
              </w:rPr>
              <w:t>G 3</w:t>
            </w:r>
            <w:r w:rsidR="009A611E">
              <w:rPr>
                <w:rStyle w:val="Hyperlink"/>
                <w:color w:val="auto"/>
              </w:rPr>
              <w:t>3</w:t>
            </w:r>
            <w:r w:rsidR="009A611E">
              <w:rPr>
                <w:rStyle w:val="Hyperlink"/>
              </w:rPr>
              <w:t>8</w:t>
            </w:r>
          </w:p>
        </w:tc>
      </w:tr>
      <w:tr w:rsidR="00F64260" w14:paraId="245BE6B6" w14:textId="77777777">
        <w:tc>
          <w:tcPr>
            <w:tcW w:w="11016" w:type="dxa"/>
          </w:tcPr>
          <w:p w14:paraId="6B2C7A47" w14:textId="23E4513A" w:rsidR="005E2D3D" w:rsidRDefault="0008114C" w:rsidP="0008114C">
            <w:pPr>
              <w:spacing w:line="240" w:lineRule="auto"/>
            </w:pPr>
            <w:bookmarkStart w:id="26" w:name="outline"/>
            <w:bookmarkEnd w:id="26"/>
            <w:r>
              <w:rPr>
                <w:b/>
              </w:rPr>
              <w:t>NOTE: Added credit will be used to engage in</w:t>
            </w:r>
            <w:r w:rsidRPr="0008114C">
              <w:rPr>
                <w:b/>
              </w:rPr>
              <w:t xml:space="preserve"> a major research project </w:t>
            </w:r>
            <w:r>
              <w:rPr>
                <w:b/>
              </w:rPr>
              <w:t xml:space="preserve">we are adding </w:t>
            </w:r>
            <w:r w:rsidRPr="0008114C">
              <w:rPr>
                <w:b/>
              </w:rPr>
              <w:t>to the course (which will result in additional in-classroom time being apportioned weekly to small-group project work on neighborhood and housing development as well as an increased expectation of weekly homework time)</w:t>
            </w:r>
            <w:r>
              <w:rPr>
                <w:b/>
              </w:rPr>
              <w:t xml:space="preserve">. </w:t>
            </w:r>
            <w:proofErr w:type="gramStart"/>
            <w:r>
              <w:rPr>
                <w:b/>
              </w:rPr>
              <w:t>Otherwise</w:t>
            </w:r>
            <w:proofErr w:type="gramEnd"/>
            <w:r>
              <w:rPr>
                <w:b/>
              </w:rPr>
              <w:t xml:space="preserve"> the course will cover the same materials previously approved.</w:t>
            </w:r>
          </w:p>
        </w:tc>
      </w:tr>
      <w:tr w:rsidR="00E6601B" w14:paraId="158C392C" w14:textId="77777777">
        <w:tc>
          <w:tcPr>
            <w:tcW w:w="11016" w:type="dxa"/>
          </w:tcPr>
          <w:p w14:paraId="51C534ED" w14:textId="77777777" w:rsidR="00E6601B" w:rsidRDefault="00E6601B" w:rsidP="0008114C">
            <w:pPr>
              <w:pStyle w:val="ListParagraph"/>
              <w:spacing w:line="240" w:lineRule="auto"/>
              <w:ind w:left="360"/>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115A68" w:rsidRPr="00402602" w14:paraId="67436BB2" w14:textId="77777777" w:rsidTr="008B6514">
        <w:trPr>
          <w:cantSplit/>
          <w:tblHeader/>
        </w:trPr>
        <w:tc>
          <w:tcPr>
            <w:tcW w:w="3018" w:type="dxa"/>
            <w:vAlign w:val="center"/>
          </w:tcPr>
          <w:p w14:paraId="739386E3" w14:textId="77777777" w:rsidR="00115A68" w:rsidRPr="00A83A6C" w:rsidRDefault="00115A68" w:rsidP="003A7613">
            <w:pPr>
              <w:pStyle w:val="Heading5"/>
              <w:jc w:val="center"/>
            </w:pPr>
            <w:r w:rsidRPr="00A83A6C">
              <w:t>Name</w:t>
            </w:r>
          </w:p>
        </w:tc>
        <w:tc>
          <w:tcPr>
            <w:tcW w:w="3212" w:type="dxa"/>
            <w:vAlign w:val="center"/>
          </w:tcPr>
          <w:p w14:paraId="7DAAAD1E" w14:textId="77777777" w:rsidR="00115A68" w:rsidRPr="00A83A6C" w:rsidRDefault="00115A68" w:rsidP="003A7613">
            <w:pPr>
              <w:pStyle w:val="Heading5"/>
              <w:jc w:val="center"/>
            </w:pPr>
            <w:r w:rsidRPr="00A83A6C">
              <w:t>Position/affiliation</w:t>
            </w:r>
          </w:p>
        </w:tc>
        <w:tc>
          <w:tcPr>
            <w:tcW w:w="3387" w:type="dxa"/>
            <w:vAlign w:val="center"/>
          </w:tcPr>
          <w:p w14:paraId="17C06571" w14:textId="77777777" w:rsidR="00115A68" w:rsidRPr="00A83A6C" w:rsidRDefault="00115A68" w:rsidP="003A7613">
            <w:pPr>
              <w:pStyle w:val="Heading5"/>
              <w:jc w:val="center"/>
            </w:pPr>
            <w:bookmarkStart w:id="27" w:name="_Signature"/>
            <w:bookmarkEnd w:id="27"/>
            <w:r w:rsidRPr="00A87611">
              <w:rPr>
                <w:rStyle w:val="Hyperlink"/>
              </w:rPr>
              <w:t>Signature</w:t>
            </w:r>
          </w:p>
        </w:tc>
        <w:tc>
          <w:tcPr>
            <w:tcW w:w="1163" w:type="dxa"/>
            <w:vAlign w:val="center"/>
          </w:tcPr>
          <w:p w14:paraId="4B00582C" w14:textId="77777777" w:rsidR="00115A68" w:rsidRPr="00A83A6C" w:rsidRDefault="00115A68" w:rsidP="003A7613">
            <w:pPr>
              <w:pStyle w:val="Heading5"/>
              <w:jc w:val="center"/>
            </w:pPr>
            <w:r w:rsidRPr="00A83A6C">
              <w:t>Date</w:t>
            </w:r>
          </w:p>
        </w:tc>
      </w:tr>
      <w:tr w:rsidR="008B6514" w14:paraId="76C92E6F" w14:textId="77777777" w:rsidTr="008B6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018" w:type="dxa"/>
          </w:tcPr>
          <w:p w14:paraId="14FB9BB4" w14:textId="77777777" w:rsidR="008B6514" w:rsidRPr="0003538A" w:rsidRDefault="008B6514" w:rsidP="00AE3CE7">
            <w:pPr>
              <w:spacing w:line="240" w:lineRule="auto"/>
              <w:rPr>
                <w:bCs/>
              </w:rPr>
            </w:pPr>
            <w:r w:rsidRPr="0003538A">
              <w:rPr>
                <w:bCs/>
              </w:rPr>
              <w:t>Michelle Brophy-Baermann</w:t>
            </w:r>
          </w:p>
        </w:tc>
        <w:tc>
          <w:tcPr>
            <w:tcW w:w="3212" w:type="dxa"/>
          </w:tcPr>
          <w:p w14:paraId="1390FEA4" w14:textId="77777777" w:rsidR="008B6514" w:rsidRDefault="008B6514" w:rsidP="00AE3CE7">
            <w:pPr>
              <w:spacing w:line="240" w:lineRule="auto"/>
            </w:pPr>
            <w:r>
              <w:t>Chair of Political Science</w:t>
            </w:r>
          </w:p>
        </w:tc>
        <w:tc>
          <w:tcPr>
            <w:tcW w:w="3387" w:type="dxa"/>
          </w:tcPr>
          <w:p w14:paraId="3C85A089" w14:textId="77777777" w:rsidR="008B6514" w:rsidRDefault="008B6514" w:rsidP="00AE3CE7">
            <w:pPr>
              <w:spacing w:line="240" w:lineRule="auto"/>
            </w:pPr>
            <w:r>
              <w:rPr>
                <w:noProof/>
              </w:rPr>
              <w:drawing>
                <wp:inline distT="0" distB="0" distL="0" distR="0" wp14:anchorId="764AC816" wp14:editId="2DEAF2EC">
                  <wp:extent cx="2013604" cy="4239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63" w:type="dxa"/>
          </w:tcPr>
          <w:p w14:paraId="6D6C8221" w14:textId="77777777" w:rsidR="008B6514" w:rsidRDefault="008B6514" w:rsidP="00AE3CE7">
            <w:pPr>
              <w:spacing w:line="240" w:lineRule="auto"/>
            </w:pPr>
            <w:r>
              <w:t>11/20/22</w:t>
            </w:r>
          </w:p>
        </w:tc>
      </w:tr>
      <w:tr w:rsidR="008B6514" w14:paraId="1244D923" w14:textId="77777777" w:rsidTr="008B6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018" w:type="dxa"/>
          </w:tcPr>
          <w:p w14:paraId="1F0761AC" w14:textId="77777777" w:rsidR="008B6514" w:rsidRDefault="008B6514" w:rsidP="00AE3CE7">
            <w:pPr>
              <w:spacing w:line="240" w:lineRule="auto"/>
            </w:pPr>
            <w:r>
              <w:t>Earl Simson</w:t>
            </w:r>
          </w:p>
        </w:tc>
        <w:tc>
          <w:tcPr>
            <w:tcW w:w="3212" w:type="dxa"/>
          </w:tcPr>
          <w:p w14:paraId="793AB502" w14:textId="77777777" w:rsidR="008B6514" w:rsidRDefault="008B6514" w:rsidP="00AE3CE7">
            <w:pPr>
              <w:spacing w:line="240" w:lineRule="auto"/>
            </w:pPr>
            <w:r>
              <w:t>Dean of FAS</w:t>
            </w:r>
          </w:p>
        </w:tc>
        <w:tc>
          <w:tcPr>
            <w:tcW w:w="3387" w:type="dxa"/>
          </w:tcPr>
          <w:p w14:paraId="5C3F1066" w14:textId="77777777" w:rsidR="008B6514" w:rsidRDefault="008B6514" w:rsidP="00AE3CE7">
            <w:pPr>
              <w:spacing w:line="240" w:lineRule="auto"/>
            </w:pPr>
            <w:r>
              <w:t>*Approved via email</w:t>
            </w:r>
          </w:p>
        </w:tc>
        <w:tc>
          <w:tcPr>
            <w:tcW w:w="1163" w:type="dxa"/>
          </w:tcPr>
          <w:p w14:paraId="7A6510DD" w14:textId="77777777" w:rsidR="008B6514" w:rsidRDefault="008B6514" w:rsidP="00AE3CE7">
            <w:pPr>
              <w:spacing w:line="240" w:lineRule="auto"/>
            </w:pPr>
            <w:r>
              <w:t>11/21/22</w:t>
            </w:r>
          </w:p>
        </w:tc>
      </w:tr>
    </w:tbl>
    <w:p w14:paraId="36D69207" w14:textId="77777777" w:rsidR="00A22483" w:rsidRDefault="00A22483" w:rsidP="00A22483">
      <w:pPr>
        <w:pStyle w:val="Heading5"/>
      </w:pPr>
    </w:p>
    <w:p w14:paraId="60ACFA32" w14:textId="77777777" w:rsidR="00A22483" w:rsidRPr="00ED10F6" w:rsidRDefault="00A22483" w:rsidP="00A22483">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7"/>
        <w:gridCol w:w="15"/>
        <w:gridCol w:w="3207"/>
        <w:gridCol w:w="13"/>
        <w:gridCol w:w="3081"/>
        <w:gridCol w:w="1407"/>
      </w:tblGrid>
      <w:tr w:rsidR="00A22483" w:rsidRPr="00402602" w14:paraId="2EEEB47A" w14:textId="77777777" w:rsidTr="00E07B3C">
        <w:trPr>
          <w:cantSplit/>
          <w:tblHeader/>
        </w:trPr>
        <w:tc>
          <w:tcPr>
            <w:tcW w:w="3072" w:type="dxa"/>
            <w:gridSpan w:val="2"/>
            <w:vAlign w:val="center"/>
          </w:tcPr>
          <w:p w14:paraId="67074054" w14:textId="77777777" w:rsidR="00A22483" w:rsidRPr="00A83A6C" w:rsidRDefault="00A22483" w:rsidP="0013740C">
            <w:pPr>
              <w:pStyle w:val="Heading5"/>
              <w:jc w:val="center"/>
            </w:pPr>
            <w:r w:rsidRPr="00A83A6C">
              <w:t>Name</w:t>
            </w:r>
          </w:p>
        </w:tc>
        <w:tc>
          <w:tcPr>
            <w:tcW w:w="3220" w:type="dxa"/>
            <w:gridSpan w:val="2"/>
            <w:vAlign w:val="center"/>
          </w:tcPr>
          <w:p w14:paraId="1C3BD380" w14:textId="77777777" w:rsidR="00A22483" w:rsidRPr="00A83A6C" w:rsidRDefault="00A22483" w:rsidP="0013740C">
            <w:pPr>
              <w:pStyle w:val="Heading5"/>
              <w:jc w:val="center"/>
            </w:pPr>
            <w:r w:rsidRPr="00A83A6C">
              <w:t>Position/affiliation</w:t>
            </w:r>
          </w:p>
        </w:tc>
        <w:tc>
          <w:tcPr>
            <w:tcW w:w="3081" w:type="dxa"/>
            <w:vAlign w:val="center"/>
          </w:tcPr>
          <w:p w14:paraId="3E2D8814" w14:textId="77777777" w:rsidR="00A22483" w:rsidRPr="00A87611" w:rsidRDefault="00000000" w:rsidP="0013740C">
            <w:pPr>
              <w:pStyle w:val="Heading5"/>
              <w:jc w:val="center"/>
              <w:rPr>
                <w:color w:val="0000FF"/>
                <w:u w:val="single"/>
              </w:rPr>
            </w:pPr>
            <w:hyperlink w:anchor="Signature_2" w:tooltip="Insert electronic signature, if available, in this column" w:history="1">
              <w:r w:rsidR="00A22483" w:rsidRPr="00A87611">
                <w:rPr>
                  <w:color w:val="0000FF"/>
                  <w:u w:val="single"/>
                </w:rPr>
                <w:t>Signature</w:t>
              </w:r>
            </w:hyperlink>
            <w:bookmarkStart w:id="29" w:name="Signature_2"/>
            <w:bookmarkEnd w:id="29"/>
          </w:p>
        </w:tc>
        <w:tc>
          <w:tcPr>
            <w:tcW w:w="1407" w:type="dxa"/>
            <w:vAlign w:val="center"/>
          </w:tcPr>
          <w:p w14:paraId="73CA320B" w14:textId="77777777" w:rsidR="00A22483" w:rsidRPr="00A83A6C" w:rsidRDefault="00A22483" w:rsidP="0013740C">
            <w:pPr>
              <w:pStyle w:val="Heading5"/>
              <w:jc w:val="center"/>
            </w:pPr>
            <w:r w:rsidRPr="00A83A6C">
              <w:t>Date</w:t>
            </w:r>
          </w:p>
        </w:tc>
      </w:tr>
      <w:tr w:rsidR="00A22483" w14:paraId="09D92C28" w14:textId="77777777" w:rsidTr="00E07B3C">
        <w:trPr>
          <w:cantSplit/>
          <w:trHeight w:val="489"/>
        </w:trPr>
        <w:tc>
          <w:tcPr>
            <w:tcW w:w="3072" w:type="dxa"/>
            <w:gridSpan w:val="2"/>
            <w:vAlign w:val="center"/>
          </w:tcPr>
          <w:p w14:paraId="168E7621" w14:textId="6ACB23B5" w:rsidR="00A22483" w:rsidRDefault="00A22483" w:rsidP="0013740C">
            <w:pPr>
              <w:spacing w:line="240" w:lineRule="auto"/>
            </w:pPr>
            <w:r>
              <w:t>April Kiser</w:t>
            </w:r>
          </w:p>
        </w:tc>
        <w:tc>
          <w:tcPr>
            <w:tcW w:w="3220" w:type="dxa"/>
            <w:gridSpan w:val="2"/>
            <w:vAlign w:val="center"/>
          </w:tcPr>
          <w:p w14:paraId="7256803D" w14:textId="6861E924" w:rsidR="00A22483" w:rsidRDefault="00A22483" w:rsidP="0013740C">
            <w:pPr>
              <w:spacing w:line="240" w:lineRule="auto"/>
            </w:pPr>
            <w:r>
              <w:t>Director of ENST and GLOB</w:t>
            </w:r>
          </w:p>
        </w:tc>
        <w:tc>
          <w:tcPr>
            <w:tcW w:w="3081" w:type="dxa"/>
            <w:vAlign w:val="center"/>
          </w:tcPr>
          <w:p w14:paraId="7B82A376" w14:textId="25826B82" w:rsidR="00A22483" w:rsidRDefault="00C0484E" w:rsidP="0013740C">
            <w:pPr>
              <w:spacing w:line="240" w:lineRule="auto"/>
            </w:pPr>
            <w:r>
              <w:t>*Acknowledged via email</w:t>
            </w:r>
          </w:p>
        </w:tc>
        <w:tc>
          <w:tcPr>
            <w:tcW w:w="1407" w:type="dxa"/>
            <w:vAlign w:val="center"/>
          </w:tcPr>
          <w:p w14:paraId="5DC5D715" w14:textId="77B63C40" w:rsidR="00A22483" w:rsidRDefault="008B6514" w:rsidP="0013740C">
            <w:pPr>
              <w:spacing w:line="240" w:lineRule="auto"/>
            </w:pPr>
            <w:r>
              <w:t>11/21/22</w:t>
            </w:r>
          </w:p>
        </w:tc>
      </w:tr>
      <w:tr w:rsidR="00E07B3C" w14:paraId="0DC7767A" w14:textId="77777777" w:rsidTr="00E07B3C">
        <w:trPr>
          <w:cantSplit/>
          <w:trHeight w:val="489"/>
        </w:trPr>
        <w:tc>
          <w:tcPr>
            <w:tcW w:w="3057" w:type="dxa"/>
            <w:vAlign w:val="center"/>
          </w:tcPr>
          <w:p w14:paraId="09222DBE" w14:textId="77777777" w:rsidR="00E07B3C" w:rsidRDefault="00E07B3C" w:rsidP="00AE3CE7">
            <w:pPr>
              <w:spacing w:line="240" w:lineRule="auto"/>
            </w:pPr>
            <w:r>
              <w:t>Charles McLaughlin</w:t>
            </w:r>
          </w:p>
        </w:tc>
        <w:tc>
          <w:tcPr>
            <w:tcW w:w="3222" w:type="dxa"/>
            <w:gridSpan w:val="2"/>
            <w:vAlign w:val="center"/>
          </w:tcPr>
          <w:p w14:paraId="7F41912F" w14:textId="77777777" w:rsidR="00E07B3C" w:rsidRDefault="00E07B3C" w:rsidP="00AE3CE7">
            <w:pPr>
              <w:spacing w:line="240" w:lineRule="auto"/>
            </w:pPr>
            <w:r>
              <w:t>Chair Ed. Studies</w:t>
            </w:r>
          </w:p>
        </w:tc>
        <w:tc>
          <w:tcPr>
            <w:tcW w:w="3094" w:type="dxa"/>
            <w:gridSpan w:val="2"/>
            <w:vAlign w:val="center"/>
          </w:tcPr>
          <w:p w14:paraId="116BBD00" w14:textId="77777777" w:rsidR="00E07B3C" w:rsidRDefault="00E07B3C" w:rsidP="00AE3CE7">
            <w:pPr>
              <w:spacing w:line="240" w:lineRule="auto"/>
            </w:pPr>
            <w:r>
              <w:rPr>
                <w:rFonts w:ascii="Vladimir Script" w:hAnsi="Vladimir Script"/>
                <w:sz w:val="28"/>
                <w:szCs w:val="28"/>
              </w:rPr>
              <w:t>Charles H. McLaughlin, Jr.</w:t>
            </w:r>
          </w:p>
        </w:tc>
        <w:tc>
          <w:tcPr>
            <w:tcW w:w="1407" w:type="dxa"/>
            <w:vAlign w:val="center"/>
          </w:tcPr>
          <w:p w14:paraId="6D3E6577" w14:textId="77777777" w:rsidR="00E07B3C" w:rsidRDefault="00E07B3C" w:rsidP="00AE3CE7">
            <w:pPr>
              <w:spacing w:line="240" w:lineRule="auto"/>
            </w:pPr>
            <w:r>
              <w:t>11/26/2022</w:t>
            </w:r>
          </w:p>
        </w:tc>
      </w:tr>
      <w:tr w:rsidR="00653C39" w14:paraId="382E613D" w14:textId="77777777" w:rsidTr="00E07B3C">
        <w:trPr>
          <w:cantSplit/>
          <w:trHeight w:val="489"/>
        </w:trPr>
        <w:tc>
          <w:tcPr>
            <w:tcW w:w="3072" w:type="dxa"/>
            <w:gridSpan w:val="2"/>
            <w:vAlign w:val="center"/>
          </w:tcPr>
          <w:p w14:paraId="394581D7" w14:textId="77777777" w:rsidR="00653C39" w:rsidRDefault="00653C39" w:rsidP="0013740C">
            <w:pPr>
              <w:spacing w:line="240" w:lineRule="auto"/>
            </w:pPr>
            <w:r>
              <w:lastRenderedPageBreak/>
              <w:t>Jeanne Dingus-Eason</w:t>
            </w:r>
          </w:p>
        </w:tc>
        <w:tc>
          <w:tcPr>
            <w:tcW w:w="3220" w:type="dxa"/>
            <w:gridSpan w:val="2"/>
            <w:vAlign w:val="center"/>
          </w:tcPr>
          <w:p w14:paraId="3A92E727" w14:textId="77777777" w:rsidR="00653C39" w:rsidRDefault="00653C39" w:rsidP="0013740C">
            <w:pPr>
              <w:spacing w:line="240" w:lineRule="auto"/>
            </w:pPr>
            <w:r>
              <w:t>Dean FSEHD</w:t>
            </w:r>
          </w:p>
        </w:tc>
        <w:tc>
          <w:tcPr>
            <w:tcW w:w="3081" w:type="dxa"/>
            <w:vAlign w:val="center"/>
          </w:tcPr>
          <w:p w14:paraId="30BA9909" w14:textId="293B025E" w:rsidR="00653C39" w:rsidRDefault="004B59C2" w:rsidP="0013740C">
            <w:pPr>
              <w:spacing w:line="240" w:lineRule="auto"/>
            </w:pPr>
            <w:r>
              <w:t>*Approved via email</w:t>
            </w:r>
          </w:p>
        </w:tc>
        <w:tc>
          <w:tcPr>
            <w:tcW w:w="1407" w:type="dxa"/>
            <w:vAlign w:val="center"/>
          </w:tcPr>
          <w:p w14:paraId="018DCE42" w14:textId="058A14C0" w:rsidR="00653C39" w:rsidRDefault="004B59C2" w:rsidP="0013740C">
            <w:pPr>
              <w:spacing w:line="240" w:lineRule="auto"/>
            </w:pPr>
            <w:r>
              <w:t>11/25/2022</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5C6D" w14:textId="77777777" w:rsidR="007470DE" w:rsidRDefault="007470DE" w:rsidP="00FA78CA">
      <w:pPr>
        <w:spacing w:line="240" w:lineRule="auto"/>
      </w:pPr>
      <w:r>
        <w:separator/>
      </w:r>
    </w:p>
  </w:endnote>
  <w:endnote w:type="continuationSeparator" w:id="0">
    <w:p w14:paraId="3A513D2A" w14:textId="77777777" w:rsidR="007470DE" w:rsidRDefault="007470D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ladimir Script">
    <w:panose1 w:val="03050402040407070305"/>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FAAE" w14:textId="77777777" w:rsidR="007470DE" w:rsidRDefault="007470DE" w:rsidP="00FA78CA">
      <w:pPr>
        <w:spacing w:line="240" w:lineRule="auto"/>
      </w:pPr>
      <w:r>
        <w:separator/>
      </w:r>
    </w:p>
  </w:footnote>
  <w:footnote w:type="continuationSeparator" w:id="0">
    <w:p w14:paraId="5CB7A8F2" w14:textId="77777777" w:rsidR="007470DE" w:rsidRDefault="007470D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9F0CD98"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8114C">
      <w:rPr>
        <w:color w:val="4F6228"/>
      </w:rPr>
      <w:t>22-23-011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8114C">
      <w:rPr>
        <w:color w:val="4F6228"/>
      </w:rPr>
      <w:t>11/18/2022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652E49"/>
    <w:multiLevelType w:val="hybridMultilevel"/>
    <w:tmpl w:val="FB66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4"/>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5"/>
  </w:num>
  <w:num w:numId="12" w16cid:durableId="941646513">
    <w:abstractNumId w:val="7"/>
  </w:num>
  <w:num w:numId="13" w16cid:durableId="970748065">
    <w:abstractNumId w:val="0"/>
  </w:num>
  <w:num w:numId="14" w16cid:durableId="616330587">
    <w:abstractNumId w:val="6"/>
  </w:num>
  <w:num w:numId="15" w16cid:durableId="1043988924">
    <w:abstractNumId w:val="13"/>
  </w:num>
  <w:num w:numId="16" w16cid:durableId="287276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266A"/>
    <w:rsid w:val="00013152"/>
    <w:rsid w:val="0002048B"/>
    <w:rsid w:val="00027199"/>
    <w:rsid w:val="000301C7"/>
    <w:rsid w:val="00033392"/>
    <w:rsid w:val="0004554C"/>
    <w:rsid w:val="000556B3"/>
    <w:rsid w:val="0005769F"/>
    <w:rsid w:val="000801BC"/>
    <w:rsid w:val="000810FF"/>
    <w:rsid w:val="0008114C"/>
    <w:rsid w:val="0009458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1FCC"/>
    <w:rsid w:val="001B2E3A"/>
    <w:rsid w:val="001C3A09"/>
    <w:rsid w:val="001D6E18"/>
    <w:rsid w:val="001F3633"/>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F36B8"/>
    <w:rsid w:val="00310D95"/>
    <w:rsid w:val="003153C3"/>
    <w:rsid w:val="00316264"/>
    <w:rsid w:val="00345149"/>
    <w:rsid w:val="00350470"/>
    <w:rsid w:val="0035674C"/>
    <w:rsid w:val="0037253D"/>
    <w:rsid w:val="00372BB5"/>
    <w:rsid w:val="00376A8B"/>
    <w:rsid w:val="003A4138"/>
    <w:rsid w:val="003A45F6"/>
    <w:rsid w:val="003A7613"/>
    <w:rsid w:val="003B4A52"/>
    <w:rsid w:val="003C1A54"/>
    <w:rsid w:val="003C4354"/>
    <w:rsid w:val="003C511E"/>
    <w:rsid w:val="003C6105"/>
    <w:rsid w:val="003D7372"/>
    <w:rsid w:val="003E539A"/>
    <w:rsid w:val="003F099C"/>
    <w:rsid w:val="003F4E82"/>
    <w:rsid w:val="00402602"/>
    <w:rsid w:val="004105B6"/>
    <w:rsid w:val="004254A0"/>
    <w:rsid w:val="00426C3A"/>
    <w:rsid w:val="00427060"/>
    <w:rsid w:val="004313E6"/>
    <w:rsid w:val="004403BD"/>
    <w:rsid w:val="00442EEA"/>
    <w:rsid w:val="004434DA"/>
    <w:rsid w:val="00454E79"/>
    <w:rsid w:val="004560C6"/>
    <w:rsid w:val="00470CFD"/>
    <w:rsid w:val="004779B4"/>
    <w:rsid w:val="00480FAA"/>
    <w:rsid w:val="004A59DB"/>
    <w:rsid w:val="004A5FCC"/>
    <w:rsid w:val="004B59C2"/>
    <w:rsid w:val="004C10DF"/>
    <w:rsid w:val="004E57C5"/>
    <w:rsid w:val="004E79A5"/>
    <w:rsid w:val="004F522A"/>
    <w:rsid w:val="00517DB2"/>
    <w:rsid w:val="00526851"/>
    <w:rsid w:val="005275F1"/>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25E5E"/>
    <w:rsid w:val="00653C39"/>
    <w:rsid w:val="006575EA"/>
    <w:rsid w:val="00670869"/>
    <w:rsid w:val="006761E1"/>
    <w:rsid w:val="00683987"/>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470DE"/>
    <w:rsid w:val="007554DE"/>
    <w:rsid w:val="00760276"/>
    <w:rsid w:val="00760EA6"/>
    <w:rsid w:val="00766256"/>
    <w:rsid w:val="00776415"/>
    <w:rsid w:val="00795D54"/>
    <w:rsid w:val="00796AF7"/>
    <w:rsid w:val="007970C3"/>
    <w:rsid w:val="007A5702"/>
    <w:rsid w:val="007B0249"/>
    <w:rsid w:val="007B10BE"/>
    <w:rsid w:val="007B249E"/>
    <w:rsid w:val="007C42BA"/>
    <w:rsid w:val="007F4255"/>
    <w:rsid w:val="00800883"/>
    <w:rsid w:val="008122C6"/>
    <w:rsid w:val="00824FEB"/>
    <w:rsid w:val="00836281"/>
    <w:rsid w:val="00837253"/>
    <w:rsid w:val="008405BE"/>
    <w:rsid w:val="0085229B"/>
    <w:rsid w:val="008555D8"/>
    <w:rsid w:val="008628B1"/>
    <w:rsid w:val="00865915"/>
    <w:rsid w:val="00872775"/>
    <w:rsid w:val="008729C0"/>
    <w:rsid w:val="008745BA"/>
    <w:rsid w:val="00880392"/>
    <w:rsid w:val="008836DF"/>
    <w:rsid w:val="00883C55"/>
    <w:rsid w:val="008847FE"/>
    <w:rsid w:val="0089234B"/>
    <w:rsid w:val="008927AF"/>
    <w:rsid w:val="0089400B"/>
    <w:rsid w:val="008B1F84"/>
    <w:rsid w:val="008B6514"/>
    <w:rsid w:val="008C097D"/>
    <w:rsid w:val="008D52B7"/>
    <w:rsid w:val="008E07D4"/>
    <w:rsid w:val="008E0FCD"/>
    <w:rsid w:val="008E3EFA"/>
    <w:rsid w:val="008E602A"/>
    <w:rsid w:val="008F175C"/>
    <w:rsid w:val="00905E67"/>
    <w:rsid w:val="00913143"/>
    <w:rsid w:val="00934884"/>
    <w:rsid w:val="00936421"/>
    <w:rsid w:val="00941342"/>
    <w:rsid w:val="009458D2"/>
    <w:rsid w:val="00946B20"/>
    <w:rsid w:val="009565C6"/>
    <w:rsid w:val="0098046D"/>
    <w:rsid w:val="00984B36"/>
    <w:rsid w:val="00991A63"/>
    <w:rsid w:val="009A4E6F"/>
    <w:rsid w:val="009A58C1"/>
    <w:rsid w:val="009A611E"/>
    <w:rsid w:val="009B4B02"/>
    <w:rsid w:val="009C1440"/>
    <w:rsid w:val="009F029C"/>
    <w:rsid w:val="009F2F3E"/>
    <w:rsid w:val="009F6D67"/>
    <w:rsid w:val="00A01611"/>
    <w:rsid w:val="00A04A92"/>
    <w:rsid w:val="00A06E22"/>
    <w:rsid w:val="00A11DCD"/>
    <w:rsid w:val="00A22483"/>
    <w:rsid w:val="00A2502C"/>
    <w:rsid w:val="00A312CE"/>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AF0CC7"/>
    <w:rsid w:val="00B12BAB"/>
    <w:rsid w:val="00B20954"/>
    <w:rsid w:val="00B24AAC"/>
    <w:rsid w:val="00B26F16"/>
    <w:rsid w:val="00B304F6"/>
    <w:rsid w:val="00B35315"/>
    <w:rsid w:val="00B374B4"/>
    <w:rsid w:val="00B464BF"/>
    <w:rsid w:val="00B4771F"/>
    <w:rsid w:val="00B4784B"/>
    <w:rsid w:val="00B51B79"/>
    <w:rsid w:val="00B605CE"/>
    <w:rsid w:val="00B649C4"/>
    <w:rsid w:val="00B67F02"/>
    <w:rsid w:val="00B77369"/>
    <w:rsid w:val="00B82B64"/>
    <w:rsid w:val="00B85F49"/>
    <w:rsid w:val="00B862BF"/>
    <w:rsid w:val="00B87B39"/>
    <w:rsid w:val="00BB11B9"/>
    <w:rsid w:val="00BC2A73"/>
    <w:rsid w:val="00BC42B6"/>
    <w:rsid w:val="00BD13B6"/>
    <w:rsid w:val="00BF1795"/>
    <w:rsid w:val="00BF30C5"/>
    <w:rsid w:val="00BF3E1D"/>
    <w:rsid w:val="00C0484E"/>
    <w:rsid w:val="00C0654C"/>
    <w:rsid w:val="00C11283"/>
    <w:rsid w:val="00C25F9D"/>
    <w:rsid w:val="00C268AC"/>
    <w:rsid w:val="00C31E83"/>
    <w:rsid w:val="00C344AB"/>
    <w:rsid w:val="00C518C1"/>
    <w:rsid w:val="00C53751"/>
    <w:rsid w:val="00C57281"/>
    <w:rsid w:val="00C61286"/>
    <w:rsid w:val="00C63D82"/>
    <w:rsid w:val="00C63F4F"/>
    <w:rsid w:val="00C81891"/>
    <w:rsid w:val="00C81E50"/>
    <w:rsid w:val="00C828AA"/>
    <w:rsid w:val="00C85879"/>
    <w:rsid w:val="00C94576"/>
    <w:rsid w:val="00C969FA"/>
    <w:rsid w:val="00C97577"/>
    <w:rsid w:val="00CA71A8"/>
    <w:rsid w:val="00CC03A7"/>
    <w:rsid w:val="00CC3BBF"/>
    <w:rsid w:val="00CC3E7A"/>
    <w:rsid w:val="00CD18DD"/>
    <w:rsid w:val="00CD4615"/>
    <w:rsid w:val="00CF0458"/>
    <w:rsid w:val="00CF0A1D"/>
    <w:rsid w:val="00CF3022"/>
    <w:rsid w:val="00CF56A2"/>
    <w:rsid w:val="00D120EA"/>
    <w:rsid w:val="00D15CDC"/>
    <w:rsid w:val="00D21AD5"/>
    <w:rsid w:val="00D308E8"/>
    <w:rsid w:val="00D44018"/>
    <w:rsid w:val="00D56C09"/>
    <w:rsid w:val="00D64DF4"/>
    <w:rsid w:val="00D65F02"/>
    <w:rsid w:val="00D713D7"/>
    <w:rsid w:val="00D75B84"/>
    <w:rsid w:val="00D75FF8"/>
    <w:rsid w:val="00D968DA"/>
    <w:rsid w:val="00D96C1E"/>
    <w:rsid w:val="00DA1CC6"/>
    <w:rsid w:val="00DA73A0"/>
    <w:rsid w:val="00DB23D4"/>
    <w:rsid w:val="00DB63D4"/>
    <w:rsid w:val="00DB79E7"/>
    <w:rsid w:val="00DC15D9"/>
    <w:rsid w:val="00DD69AE"/>
    <w:rsid w:val="00DE2B7A"/>
    <w:rsid w:val="00DF36DE"/>
    <w:rsid w:val="00DF4FCD"/>
    <w:rsid w:val="00DF7C07"/>
    <w:rsid w:val="00E07B3C"/>
    <w:rsid w:val="00E1352D"/>
    <w:rsid w:val="00E36899"/>
    <w:rsid w:val="00E36AF7"/>
    <w:rsid w:val="00E44DC4"/>
    <w:rsid w:val="00E4755D"/>
    <w:rsid w:val="00E500F9"/>
    <w:rsid w:val="00E52AB9"/>
    <w:rsid w:val="00E53053"/>
    <w:rsid w:val="00E60627"/>
    <w:rsid w:val="00E6236C"/>
    <w:rsid w:val="00E641DE"/>
    <w:rsid w:val="00E6601B"/>
    <w:rsid w:val="00E763AC"/>
    <w:rsid w:val="00E95018"/>
    <w:rsid w:val="00EB33FD"/>
    <w:rsid w:val="00EB7CD2"/>
    <w:rsid w:val="00EC194E"/>
    <w:rsid w:val="00EC38F4"/>
    <w:rsid w:val="00EC63A4"/>
    <w:rsid w:val="00EC7B24"/>
    <w:rsid w:val="00ED0D58"/>
    <w:rsid w:val="00ED1712"/>
    <w:rsid w:val="00EF5FD0"/>
    <w:rsid w:val="00F15B95"/>
    <w:rsid w:val="00F3256C"/>
    <w:rsid w:val="00F32980"/>
    <w:rsid w:val="00F409A9"/>
    <w:rsid w:val="00F42F5D"/>
    <w:rsid w:val="00F44FE6"/>
    <w:rsid w:val="00F50687"/>
    <w:rsid w:val="00F62BE0"/>
    <w:rsid w:val="00F64260"/>
    <w:rsid w:val="00F8288D"/>
    <w:rsid w:val="00F84B65"/>
    <w:rsid w:val="00F871BA"/>
    <w:rsid w:val="00F9241F"/>
    <w:rsid w:val="00FA6359"/>
    <w:rsid w:val="00FA6998"/>
    <w:rsid w:val="00FA769F"/>
    <w:rsid w:val="00FA78CA"/>
    <w:rsid w:val="00FB1042"/>
    <w:rsid w:val="00FB4A0C"/>
    <w:rsid w:val="00FD2501"/>
    <w:rsid w:val="00FD4F29"/>
    <w:rsid w:val="00FE26F1"/>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08114C"/>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2022-11-20T00:32:00Z</dcterms:created>
  <dcterms:modified xsi:type="dcterms:W3CDTF">2022-12-09T01:03:00Z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