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26E1F92A" w14:textId="74427BE9" w:rsidR="004D33BC" w:rsidRPr="004D33BC" w:rsidRDefault="004D33BC" w:rsidP="004D33BC">
            <w:pPr>
              <w:rPr>
                <w:b/>
                <w:color w:val="632423" w:themeColor="accent2" w:themeShade="80"/>
              </w:rPr>
            </w:pPr>
            <w:bookmarkStart w:id="0" w:name="Proposal"/>
            <w:bookmarkEnd w:id="0"/>
            <w:r w:rsidRPr="004D33BC">
              <w:rPr>
                <w:b/>
                <w:color w:val="632423" w:themeColor="accent2" w:themeShade="80"/>
              </w:rPr>
              <w:t>POL 318 CRISES OF LIBERALISM</w:t>
            </w:r>
          </w:p>
          <w:p w14:paraId="35630052" w14:textId="3195C710" w:rsidR="004D33BC" w:rsidRPr="004D33BC" w:rsidRDefault="004D33BC" w:rsidP="004D33BC">
            <w:pPr>
              <w:rPr>
                <w:b/>
                <w:color w:val="632423" w:themeColor="accent2" w:themeShade="80"/>
              </w:rPr>
            </w:pPr>
            <w:r w:rsidRPr="004D33BC">
              <w:rPr>
                <w:b/>
                <w:color w:val="632423" w:themeColor="accent2" w:themeShade="80"/>
              </w:rPr>
              <w:t>POL 333 LAW AND POLITICS OF CIVIL RIGHTS</w:t>
            </w:r>
          </w:p>
          <w:p w14:paraId="23CAE240" w14:textId="4BB4D0A0" w:rsidR="004D33BC" w:rsidRPr="004D33BC" w:rsidRDefault="004D33BC" w:rsidP="004D33BC">
            <w:pPr>
              <w:rPr>
                <w:b/>
                <w:color w:val="632423" w:themeColor="accent2" w:themeShade="80"/>
              </w:rPr>
            </w:pPr>
            <w:r w:rsidRPr="004D33BC">
              <w:rPr>
                <w:b/>
                <w:color w:val="632423" w:themeColor="accent2" w:themeShade="80"/>
              </w:rPr>
              <w:t>POL 342 THE POLITICS OF GLOBAL ECONOMIC CHANGE</w:t>
            </w:r>
          </w:p>
          <w:p w14:paraId="0BC3BC09" w14:textId="0F3FFA8F" w:rsidR="004D33BC" w:rsidRPr="004D33BC" w:rsidRDefault="004D33BC" w:rsidP="004D33BC">
            <w:pPr>
              <w:rPr>
                <w:b/>
                <w:color w:val="632423" w:themeColor="accent2" w:themeShade="80"/>
              </w:rPr>
            </w:pPr>
            <w:r w:rsidRPr="004D33BC">
              <w:rPr>
                <w:b/>
                <w:color w:val="632423" w:themeColor="accent2" w:themeShade="80"/>
              </w:rPr>
              <w:t>POL 444 BRITISH POLITICS AND CULTURAL STUDIES</w:t>
            </w:r>
          </w:p>
          <w:p w14:paraId="3DD8DB7A" w14:textId="048E8AD1" w:rsidR="004D33BC" w:rsidRPr="004D33BC" w:rsidRDefault="004D33BC" w:rsidP="004D33BC">
            <w:r w:rsidRPr="004D33BC">
              <w:rPr>
                <w:b/>
                <w:color w:val="632423" w:themeColor="accent2" w:themeShade="80"/>
              </w:rPr>
              <w:t>POL 445 EUROPEAN POLITICAL GEOGRAPHY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33B00F3A" w:rsidR="00F64260" w:rsidRPr="00A83A6C" w:rsidRDefault="003A4138" w:rsidP="00B862BF">
            <w:pPr>
              <w:pStyle w:val="Heading5"/>
              <w:rPr>
                <w:b/>
              </w:rPr>
            </w:pPr>
            <w:bookmarkStart w:id="3" w:name="Ifapplicable"/>
            <w:bookmarkEnd w:id="3"/>
            <w:r w:rsidRPr="003A4138">
              <w:rPr>
                <w:b/>
                <w:color w:val="auto"/>
              </w:rPr>
              <w:t>N/A</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3A761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3A7613">
            <w:pPr>
              <w:rPr>
                <w:b/>
              </w:rPr>
            </w:pPr>
            <w:r w:rsidRPr="004301A3">
              <w:rPr>
                <w:b/>
              </w:rPr>
              <w:t xml:space="preserve">Faculty of Arts and Sciences </w:t>
            </w:r>
          </w:p>
        </w:tc>
        <w:tc>
          <w:tcPr>
            <w:tcW w:w="131" w:type="pct"/>
          </w:tcPr>
          <w:p w14:paraId="12A36AEF" w14:textId="77777777" w:rsidR="005E2D3D" w:rsidRPr="008E0FCD" w:rsidRDefault="005E2D3D" w:rsidP="003A7613">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237B0981" w:rsidR="00F64260" w:rsidRPr="005F2A05" w:rsidRDefault="00F64260" w:rsidP="004D33BC">
            <w:pPr>
              <w:rPr>
                <w:b/>
              </w:rPr>
            </w:pPr>
            <w:bookmarkStart w:id="4" w:name="type"/>
            <w:r w:rsidRPr="005F2A05">
              <w:rPr>
                <w:b/>
              </w:rPr>
              <w:t xml:space="preserve">Course </w:t>
            </w:r>
            <w:bookmarkEnd w:id="4"/>
            <w:r w:rsidR="00966544">
              <w:rPr>
                <w:b/>
              </w:rPr>
              <w:t>deletion</w:t>
            </w:r>
            <w:r w:rsidR="00E6601B">
              <w:rPr>
                <w:b/>
              </w:rPr>
              <w:t xml:space="preserve">:  </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7E0D044" w14:textId="46869001" w:rsidR="00F64260" w:rsidRDefault="000718C6" w:rsidP="004D33BC">
            <w:pPr>
              <w:rPr>
                <w:b/>
              </w:rPr>
            </w:pPr>
            <w:bookmarkStart w:id="7" w:name="Rationale"/>
            <w:bookmarkEnd w:id="7"/>
            <w:r>
              <w:rPr>
                <w:b/>
              </w:rPr>
              <w:t>The</w:t>
            </w:r>
            <w:r w:rsidR="004C10DF">
              <w:rPr>
                <w:b/>
              </w:rPr>
              <w:t xml:space="preserve"> Department of Political Science seeks to</w:t>
            </w:r>
            <w:r>
              <w:rPr>
                <w:b/>
              </w:rPr>
              <w:t xml:space="preserve"> align its course offerings with the proposed reconfiguration of our degree and certificate programs.  As part of this alignment, </w:t>
            </w:r>
            <w:r w:rsidR="00BE24A9">
              <w:rPr>
                <w:b/>
              </w:rPr>
              <w:t xml:space="preserve">attention was paid to certain </w:t>
            </w:r>
            <w:r>
              <w:rPr>
                <w:b/>
              </w:rPr>
              <w:t>courses that have not been offered for several years and/or for which faculty interest is unlikely to support such courses in the future.</w:t>
            </w:r>
            <w:r w:rsidR="00BE24A9">
              <w:rPr>
                <w:b/>
              </w:rPr>
              <w:t xml:space="preserve">  </w:t>
            </w:r>
            <w:r w:rsidR="004D33BC">
              <w:rPr>
                <w:b/>
              </w:rPr>
              <w:t>To that end we would like to delete the courses listed above.</w:t>
            </w:r>
            <w:r w:rsidR="00966544">
              <w:rPr>
                <w:b/>
              </w:rPr>
              <w:t xml:space="preserve"> </w:t>
            </w:r>
            <w:r w:rsidR="004D33BC">
              <w:rPr>
                <w:b/>
              </w:rPr>
              <w:t xml:space="preserve"> POL 444 is one of two courses [the other being POL 445: European Political Geography] that constitute “The London Course.”  There is no interest among faculty members to re-launch this study abroad experience and, therefore, both should be deleted</w:t>
            </w:r>
            <w:r w:rsidR="00B96568">
              <w:rPr>
                <w:b/>
              </w:rPr>
              <w:t>, along with “The London Course” option described after the major in the catalog</w:t>
            </w:r>
            <w:r w:rsidR="004D33BC">
              <w:rPr>
                <w:b/>
              </w:rPr>
              <w:t>.</w:t>
            </w:r>
            <w:r w:rsidR="00C47DDB">
              <w:rPr>
                <w:b/>
              </w:rPr>
              <w:t xml:space="preserve"> </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77CD0923" w:rsidR="00517DB2" w:rsidRPr="00B649C4" w:rsidRDefault="004D33BC" w:rsidP="00517DB2">
            <w:pPr>
              <w:rPr>
                <w:b/>
              </w:rPr>
            </w:pPr>
            <w:bookmarkStart w:id="8" w:name="student_impact"/>
            <w:bookmarkEnd w:id="8"/>
            <w:r>
              <w:rPr>
                <w:b/>
              </w:rPr>
              <w:t>These</w:t>
            </w:r>
            <w:r w:rsidR="000C39C9">
              <w:rPr>
                <w:b/>
              </w:rPr>
              <w:t xml:space="preserve"> deletion</w:t>
            </w:r>
            <w:r>
              <w:rPr>
                <w:b/>
              </w:rPr>
              <w:t>s</w:t>
            </w:r>
            <w:r w:rsidR="000C39C9">
              <w:rPr>
                <w:b/>
              </w:rPr>
              <w:t xml:space="preserve"> </w:t>
            </w:r>
            <w:r w:rsidR="000718C6">
              <w:rPr>
                <w:b/>
              </w:rPr>
              <w:t xml:space="preserve">will reduce the </w:t>
            </w:r>
            <w:r w:rsidR="00BE24A9">
              <w:rPr>
                <w:b/>
              </w:rPr>
              <w:t xml:space="preserve">POL major’s </w:t>
            </w:r>
            <w:r>
              <w:rPr>
                <w:b/>
              </w:rPr>
              <w:t xml:space="preserve">restricted </w:t>
            </w:r>
            <w:r w:rsidR="000718C6">
              <w:rPr>
                <w:b/>
              </w:rPr>
              <w:t>elective course offerings</w:t>
            </w:r>
            <w:r>
              <w:rPr>
                <w:b/>
              </w:rPr>
              <w:t>, but there are still plenty from which to choose (as well as two new courses on more current topics they can select) and these will all be ones we can offer on a regular basis. Also, the deletion of POL 444 [along with POL 445] will mean the end of “The London Course” within the Political Science Department.  As a result, RIC students will have a more limited selection of study abroad experiences taught by RIC faculty, but there are no current faculty who wish to run these courses.</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334F6076" w:rsidR="00517DB2" w:rsidRPr="00B649C4" w:rsidRDefault="00501AE1" w:rsidP="00517DB2">
            <w:pPr>
              <w:rPr>
                <w:b/>
              </w:rPr>
            </w:pPr>
            <w:bookmarkStart w:id="9" w:name="prog_impact"/>
            <w:bookmarkEnd w:id="9"/>
            <w:r>
              <w:rPr>
                <w:b/>
              </w:rPr>
              <w:t xml:space="preserve">POL 333 is used as restricted elective in the Africana Studies major and minor, and Gender and Women’s Studies major and minor. POL 342 is used as restricted elective in the Environmental Studies major and minor, Global Studies major and minor, INGOS and NPST minor, Secondary Education Social </w:t>
            </w:r>
            <w:r w:rsidR="00256182">
              <w:rPr>
                <w:b/>
              </w:rPr>
              <w:t>Studies major</w:t>
            </w:r>
            <w:r w:rsidR="00C47DDB">
              <w:rPr>
                <w:b/>
              </w:rPr>
              <w:t xml:space="preserve">, and </w:t>
            </w:r>
            <w:r w:rsidR="00C47DDB">
              <w:rPr>
                <w:b/>
              </w:rPr>
              <w:lastRenderedPageBreak/>
              <w:t>the International Business minor</w:t>
            </w:r>
            <w:r w:rsidR="001B0D15">
              <w:rPr>
                <w:b/>
              </w:rPr>
              <w:t>. All will be informed so they can update their programs with these deletions.</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23AA75A" w:rsidR="00F64260" w:rsidRPr="00B605CE" w:rsidRDefault="00EF5FD0"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671E21C2"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8E073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EF5FD0">
              <w:rPr>
                <w:b/>
                <w:sz w:val="20"/>
                <w:szCs w:val="20"/>
              </w:rPr>
              <w:t xml:space="preserve">     No impact</w:t>
            </w:r>
          </w:p>
        </w:tc>
      </w:tr>
      <w:tr w:rsidR="00590188" w:rsidRPr="006E3AF2" w14:paraId="595E0072" w14:textId="77777777">
        <w:trPr>
          <w:cantSplit/>
        </w:trPr>
        <w:tc>
          <w:tcPr>
            <w:tcW w:w="5000" w:type="pct"/>
            <w:gridSpan w:val="6"/>
            <w:vAlign w:val="center"/>
          </w:tcPr>
          <w:p w14:paraId="74D63938" w14:textId="6802E9EB"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EF5FD0" w:rsidRPr="00EF5FD0">
              <w:rPr>
                <w:b/>
                <w:sz w:val="20"/>
                <w:szCs w:val="20"/>
              </w:rPr>
              <w:t>No impact</w:t>
            </w:r>
          </w:p>
        </w:tc>
      </w:tr>
    </w:tbl>
    <w:p w14:paraId="58DEE437" w14:textId="77777777" w:rsidR="00DC15D9" w:rsidRDefault="00DC15D9" w:rsidP="00C344AB"/>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127"/>
        <w:gridCol w:w="2979"/>
        <w:gridCol w:w="4511"/>
        <w:gridCol w:w="1163"/>
      </w:tblGrid>
      <w:tr w:rsidR="00115A68" w:rsidRPr="00402602" w14:paraId="67436BB2" w14:textId="77777777" w:rsidTr="00CB0879">
        <w:trPr>
          <w:cantSplit/>
          <w:tblHeader/>
        </w:trPr>
        <w:tc>
          <w:tcPr>
            <w:tcW w:w="2127" w:type="dxa"/>
            <w:vAlign w:val="center"/>
          </w:tcPr>
          <w:p w14:paraId="739386E3" w14:textId="77777777" w:rsidR="00115A68" w:rsidRPr="00A83A6C" w:rsidRDefault="00115A68" w:rsidP="003A7613">
            <w:pPr>
              <w:pStyle w:val="Heading5"/>
              <w:jc w:val="center"/>
            </w:pPr>
            <w:r w:rsidRPr="00A83A6C">
              <w:t>Name</w:t>
            </w:r>
          </w:p>
        </w:tc>
        <w:tc>
          <w:tcPr>
            <w:tcW w:w="2979" w:type="dxa"/>
            <w:vAlign w:val="center"/>
          </w:tcPr>
          <w:p w14:paraId="7DAAAD1E" w14:textId="77777777" w:rsidR="00115A68" w:rsidRPr="00A83A6C" w:rsidRDefault="00115A68" w:rsidP="003A7613">
            <w:pPr>
              <w:pStyle w:val="Heading5"/>
              <w:jc w:val="center"/>
            </w:pPr>
            <w:r w:rsidRPr="00A83A6C">
              <w:t>Position/affiliation</w:t>
            </w:r>
          </w:p>
        </w:tc>
        <w:tc>
          <w:tcPr>
            <w:tcW w:w="4511" w:type="dxa"/>
            <w:vAlign w:val="center"/>
          </w:tcPr>
          <w:p w14:paraId="17C06571" w14:textId="77777777" w:rsidR="00115A68" w:rsidRPr="00A83A6C" w:rsidRDefault="00115A68" w:rsidP="003A7613">
            <w:pPr>
              <w:pStyle w:val="Heading5"/>
              <w:jc w:val="center"/>
            </w:pPr>
            <w:bookmarkStart w:id="12" w:name="_Signature"/>
            <w:bookmarkEnd w:id="12"/>
            <w:r w:rsidRPr="00A87611">
              <w:rPr>
                <w:rStyle w:val="Hyperlink"/>
              </w:rPr>
              <w:t>Signature</w:t>
            </w:r>
          </w:p>
        </w:tc>
        <w:tc>
          <w:tcPr>
            <w:tcW w:w="1163" w:type="dxa"/>
            <w:vAlign w:val="center"/>
          </w:tcPr>
          <w:p w14:paraId="4B00582C" w14:textId="77777777" w:rsidR="00115A68" w:rsidRPr="00A83A6C" w:rsidRDefault="00115A68" w:rsidP="003A7613">
            <w:pPr>
              <w:pStyle w:val="Heading5"/>
              <w:jc w:val="center"/>
            </w:pPr>
            <w:r w:rsidRPr="00A83A6C">
              <w:t>Date</w:t>
            </w:r>
          </w:p>
        </w:tc>
      </w:tr>
      <w:tr w:rsidR="00CB0879" w:rsidRPr="003A5E1C" w14:paraId="1E865740" w14:textId="77777777" w:rsidTr="00CB0879">
        <w:trPr>
          <w:cantSplit/>
          <w:trHeight w:val="489"/>
        </w:trPr>
        <w:tc>
          <w:tcPr>
            <w:tcW w:w="2127" w:type="dxa"/>
            <w:vAlign w:val="center"/>
          </w:tcPr>
          <w:p w14:paraId="0A961C15" w14:textId="77777777" w:rsidR="00CB0879" w:rsidRPr="003A5E1C" w:rsidRDefault="00CB0879" w:rsidP="00AE3CE7">
            <w:pPr>
              <w:spacing w:line="240" w:lineRule="auto"/>
              <w:rPr>
                <w:rFonts w:asciiTheme="minorHAnsi" w:hAnsiTheme="minorHAnsi"/>
              </w:rPr>
            </w:pPr>
            <w:r>
              <w:rPr>
                <w:rFonts w:asciiTheme="minorHAnsi" w:hAnsiTheme="minorHAnsi"/>
              </w:rPr>
              <w:t>Michelle Brophy-Baermann</w:t>
            </w:r>
          </w:p>
        </w:tc>
        <w:tc>
          <w:tcPr>
            <w:tcW w:w="2979" w:type="dxa"/>
            <w:vAlign w:val="center"/>
          </w:tcPr>
          <w:p w14:paraId="3BC002EF" w14:textId="77777777" w:rsidR="00CB0879" w:rsidRPr="003A5E1C" w:rsidRDefault="00CB0879" w:rsidP="00AE3CE7">
            <w:pPr>
              <w:spacing w:line="240" w:lineRule="auto"/>
              <w:rPr>
                <w:rFonts w:asciiTheme="minorHAnsi" w:hAnsiTheme="minorHAnsi"/>
              </w:rPr>
            </w:pPr>
            <w:r w:rsidRPr="003A5E1C">
              <w:rPr>
                <w:rFonts w:asciiTheme="minorHAnsi" w:hAnsiTheme="minorHAnsi"/>
              </w:rPr>
              <w:t xml:space="preserve">Chair of </w:t>
            </w:r>
            <w:r>
              <w:rPr>
                <w:rFonts w:asciiTheme="minorHAnsi" w:hAnsiTheme="minorHAnsi"/>
              </w:rPr>
              <w:t>Political Science</w:t>
            </w:r>
          </w:p>
        </w:tc>
        <w:tc>
          <w:tcPr>
            <w:tcW w:w="4511" w:type="dxa"/>
            <w:vAlign w:val="center"/>
          </w:tcPr>
          <w:p w14:paraId="503D523B" w14:textId="77777777" w:rsidR="00CB0879" w:rsidRPr="003A5E1C" w:rsidRDefault="00CB0879" w:rsidP="00AE3CE7">
            <w:pPr>
              <w:spacing w:line="240" w:lineRule="auto"/>
              <w:rPr>
                <w:rFonts w:asciiTheme="minorHAnsi" w:hAnsiTheme="minorHAnsi"/>
              </w:rPr>
            </w:pPr>
            <w:r>
              <w:rPr>
                <w:rFonts w:asciiTheme="minorHAnsi" w:hAnsiTheme="minorHAnsi"/>
                <w:noProof/>
              </w:rPr>
              <w:drawing>
                <wp:inline distT="0" distB="0" distL="0" distR="0" wp14:anchorId="22CDF10B" wp14:editId="51A4EEB7">
                  <wp:extent cx="2686423" cy="56556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2756860" cy="580392"/>
                          </a:xfrm>
                          <a:prstGeom prst="rect">
                            <a:avLst/>
                          </a:prstGeom>
                        </pic:spPr>
                      </pic:pic>
                    </a:graphicData>
                  </a:graphic>
                </wp:inline>
              </w:drawing>
            </w:r>
          </w:p>
        </w:tc>
        <w:tc>
          <w:tcPr>
            <w:tcW w:w="1163" w:type="dxa"/>
            <w:vAlign w:val="center"/>
          </w:tcPr>
          <w:p w14:paraId="5B887F3E" w14:textId="77777777" w:rsidR="00CB0879" w:rsidRPr="003A5E1C" w:rsidRDefault="00CB0879" w:rsidP="00AE3CE7">
            <w:pPr>
              <w:spacing w:line="240" w:lineRule="auto"/>
              <w:rPr>
                <w:rFonts w:asciiTheme="minorHAnsi" w:hAnsiTheme="minorHAnsi"/>
              </w:rPr>
            </w:pPr>
            <w:r>
              <w:rPr>
                <w:rFonts w:asciiTheme="minorHAnsi" w:hAnsiTheme="minorHAnsi"/>
              </w:rPr>
              <w:t>11/21/22</w:t>
            </w:r>
          </w:p>
        </w:tc>
      </w:tr>
      <w:tr w:rsidR="00C17FA7" w14:paraId="52C449F2" w14:textId="77777777" w:rsidTr="00CB0879">
        <w:trPr>
          <w:cantSplit/>
          <w:trHeight w:val="489"/>
        </w:trPr>
        <w:tc>
          <w:tcPr>
            <w:tcW w:w="2127" w:type="dxa"/>
            <w:vAlign w:val="center"/>
          </w:tcPr>
          <w:p w14:paraId="41BC8D63" w14:textId="77777777" w:rsidR="00C17FA7" w:rsidRDefault="00C17FA7" w:rsidP="00AE3CE7">
            <w:pPr>
              <w:spacing w:line="240" w:lineRule="auto"/>
            </w:pPr>
            <w:r>
              <w:t>Earl Simson</w:t>
            </w:r>
          </w:p>
        </w:tc>
        <w:tc>
          <w:tcPr>
            <w:tcW w:w="2979" w:type="dxa"/>
            <w:vAlign w:val="center"/>
          </w:tcPr>
          <w:p w14:paraId="7988D804" w14:textId="77777777" w:rsidR="00C17FA7" w:rsidRDefault="00C17FA7" w:rsidP="00AE3CE7">
            <w:pPr>
              <w:spacing w:line="240" w:lineRule="auto"/>
            </w:pPr>
            <w:r>
              <w:t>Dean of FAS</w:t>
            </w:r>
          </w:p>
        </w:tc>
        <w:tc>
          <w:tcPr>
            <w:tcW w:w="4511" w:type="dxa"/>
            <w:vAlign w:val="center"/>
          </w:tcPr>
          <w:p w14:paraId="11D4157B" w14:textId="77777777" w:rsidR="00C17FA7" w:rsidRDefault="00C17FA7" w:rsidP="00AE3CE7">
            <w:pPr>
              <w:spacing w:line="240" w:lineRule="auto"/>
            </w:pPr>
            <w:r>
              <w:t>*Approved via email</w:t>
            </w:r>
          </w:p>
        </w:tc>
        <w:tc>
          <w:tcPr>
            <w:tcW w:w="1163" w:type="dxa"/>
            <w:vAlign w:val="center"/>
          </w:tcPr>
          <w:p w14:paraId="1048C543" w14:textId="77777777" w:rsidR="00C17FA7" w:rsidRDefault="00C17FA7" w:rsidP="00AE3CE7">
            <w:pPr>
              <w:spacing w:line="240" w:lineRule="auto"/>
            </w:pPr>
            <w:r>
              <w:t>11/21/22</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3" w:name="acknowledge"/>
        <w:bookmarkEnd w:id="13"/>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w:t>
      </w:r>
      <w:r w:rsidRPr="00ED10F6">
        <w:lastRenderedPageBreak/>
        <w:t xml:space="preserve">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600"/>
        <w:gridCol w:w="2784"/>
        <w:gridCol w:w="3876"/>
        <w:gridCol w:w="1520"/>
      </w:tblGrid>
      <w:tr w:rsidR="00E05887" w:rsidRPr="00402602" w14:paraId="1CE68611" w14:textId="77777777" w:rsidTr="00E05887">
        <w:trPr>
          <w:cantSplit/>
          <w:tblHeader/>
        </w:trPr>
        <w:tc>
          <w:tcPr>
            <w:tcW w:w="2600" w:type="dxa"/>
            <w:vAlign w:val="center"/>
          </w:tcPr>
          <w:p w14:paraId="3E1DDF49" w14:textId="77777777" w:rsidR="00115A68" w:rsidRPr="00A83A6C" w:rsidRDefault="00115A68" w:rsidP="003A7613">
            <w:pPr>
              <w:pStyle w:val="Heading5"/>
              <w:jc w:val="center"/>
            </w:pPr>
            <w:r w:rsidRPr="00A83A6C">
              <w:t>Name</w:t>
            </w:r>
          </w:p>
        </w:tc>
        <w:tc>
          <w:tcPr>
            <w:tcW w:w="2784" w:type="dxa"/>
            <w:vAlign w:val="center"/>
          </w:tcPr>
          <w:p w14:paraId="1B0BC45F" w14:textId="77777777" w:rsidR="00115A68" w:rsidRPr="00A83A6C" w:rsidRDefault="00115A68" w:rsidP="003A7613">
            <w:pPr>
              <w:pStyle w:val="Heading5"/>
              <w:jc w:val="center"/>
            </w:pPr>
            <w:r w:rsidRPr="00A83A6C">
              <w:t>Position/affiliation</w:t>
            </w:r>
          </w:p>
        </w:tc>
        <w:tc>
          <w:tcPr>
            <w:tcW w:w="3876" w:type="dxa"/>
            <w:vAlign w:val="center"/>
          </w:tcPr>
          <w:p w14:paraId="2D79239D" w14:textId="77777777" w:rsidR="00115A68" w:rsidRPr="00A87611" w:rsidRDefault="00000000" w:rsidP="003A7613">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4" w:name="Signature_2"/>
            <w:bookmarkEnd w:id="14"/>
          </w:p>
        </w:tc>
        <w:tc>
          <w:tcPr>
            <w:tcW w:w="1520" w:type="dxa"/>
            <w:vAlign w:val="center"/>
          </w:tcPr>
          <w:p w14:paraId="1B58133B" w14:textId="77777777" w:rsidR="00115A68" w:rsidRPr="00A83A6C" w:rsidRDefault="00115A68" w:rsidP="003A7613">
            <w:pPr>
              <w:pStyle w:val="Heading5"/>
              <w:jc w:val="center"/>
            </w:pPr>
            <w:r w:rsidRPr="00A83A6C">
              <w:t>Date</w:t>
            </w:r>
          </w:p>
        </w:tc>
      </w:tr>
      <w:tr w:rsidR="00E05887" w14:paraId="032CD38C" w14:textId="77777777" w:rsidTr="00E05887">
        <w:trPr>
          <w:cantSplit/>
          <w:trHeight w:val="489"/>
        </w:trPr>
        <w:tc>
          <w:tcPr>
            <w:tcW w:w="2600" w:type="dxa"/>
            <w:vAlign w:val="center"/>
          </w:tcPr>
          <w:p w14:paraId="52B20687" w14:textId="169CA610" w:rsidR="00115A68" w:rsidRDefault="00501AE1" w:rsidP="003A7613">
            <w:pPr>
              <w:spacing w:line="240" w:lineRule="auto"/>
            </w:pPr>
            <w:r>
              <w:t xml:space="preserve">Sadhana </w:t>
            </w:r>
            <w:proofErr w:type="spellStart"/>
            <w:r>
              <w:t>Bery</w:t>
            </w:r>
            <w:proofErr w:type="spellEnd"/>
          </w:p>
        </w:tc>
        <w:tc>
          <w:tcPr>
            <w:tcW w:w="2784" w:type="dxa"/>
            <w:vAlign w:val="center"/>
          </w:tcPr>
          <w:p w14:paraId="12B14668" w14:textId="2DB4B100" w:rsidR="00115A68" w:rsidRDefault="00501AE1" w:rsidP="003A7613">
            <w:pPr>
              <w:spacing w:line="240" w:lineRule="auto"/>
            </w:pPr>
            <w:r>
              <w:t>Director Africana Studies</w:t>
            </w:r>
          </w:p>
        </w:tc>
        <w:tc>
          <w:tcPr>
            <w:tcW w:w="3876" w:type="dxa"/>
            <w:vAlign w:val="center"/>
          </w:tcPr>
          <w:p w14:paraId="35E6C3B2" w14:textId="67310FAF" w:rsidR="00115A68" w:rsidRDefault="0054450F" w:rsidP="003A7613">
            <w:pPr>
              <w:spacing w:line="240" w:lineRule="auto"/>
            </w:pPr>
            <w:r>
              <w:t>*Acknowledged via email</w:t>
            </w:r>
          </w:p>
        </w:tc>
        <w:tc>
          <w:tcPr>
            <w:tcW w:w="1520" w:type="dxa"/>
            <w:vAlign w:val="center"/>
          </w:tcPr>
          <w:p w14:paraId="70EE5B2D" w14:textId="21A651C5" w:rsidR="00115A68" w:rsidRDefault="004F1328" w:rsidP="003A7613">
            <w:pPr>
              <w:spacing w:line="240" w:lineRule="auto"/>
            </w:pPr>
            <w:r>
              <w:t>11/22/2022</w:t>
            </w:r>
          </w:p>
        </w:tc>
      </w:tr>
      <w:tr w:rsidR="00E05887" w14:paraId="09E035FE" w14:textId="77777777" w:rsidTr="00E05887">
        <w:trPr>
          <w:cantSplit/>
          <w:trHeight w:val="489"/>
        </w:trPr>
        <w:tc>
          <w:tcPr>
            <w:tcW w:w="2600" w:type="dxa"/>
            <w:vAlign w:val="center"/>
          </w:tcPr>
          <w:p w14:paraId="5718B459" w14:textId="77777777" w:rsidR="001529F2" w:rsidRDefault="001529F2" w:rsidP="00AE3CE7">
            <w:pPr>
              <w:spacing w:line="240" w:lineRule="auto"/>
            </w:pPr>
            <w:r>
              <w:t>Leslie Schuster</w:t>
            </w:r>
          </w:p>
        </w:tc>
        <w:tc>
          <w:tcPr>
            <w:tcW w:w="2784" w:type="dxa"/>
            <w:vAlign w:val="center"/>
          </w:tcPr>
          <w:p w14:paraId="69CBA7F3" w14:textId="77777777" w:rsidR="001529F2" w:rsidRDefault="001529F2" w:rsidP="00AE3CE7">
            <w:pPr>
              <w:spacing w:line="240" w:lineRule="auto"/>
            </w:pPr>
            <w:r>
              <w:t>Director Gender and Women’s Studies</w:t>
            </w:r>
          </w:p>
        </w:tc>
        <w:tc>
          <w:tcPr>
            <w:tcW w:w="3876" w:type="dxa"/>
            <w:vAlign w:val="center"/>
          </w:tcPr>
          <w:p w14:paraId="44F70B84" w14:textId="77777777" w:rsidR="001529F2" w:rsidRPr="00E54357" w:rsidRDefault="001529F2" w:rsidP="00AE3CE7">
            <w:pPr>
              <w:spacing w:line="240" w:lineRule="auto"/>
              <w:rPr>
                <w:rFonts w:ascii="Bradley Hand ITC" w:hAnsi="Bradley Hand ITC"/>
              </w:rPr>
            </w:pPr>
            <w:r w:rsidRPr="00E54357">
              <w:rPr>
                <w:rFonts w:ascii="Bradley Hand ITC" w:hAnsi="Bradley Hand ITC"/>
              </w:rPr>
              <w:t>Leslie Schuster</w:t>
            </w:r>
          </w:p>
        </w:tc>
        <w:tc>
          <w:tcPr>
            <w:tcW w:w="1520" w:type="dxa"/>
            <w:vAlign w:val="center"/>
          </w:tcPr>
          <w:p w14:paraId="5481928E" w14:textId="77777777" w:rsidR="001529F2" w:rsidRDefault="001529F2" w:rsidP="00AE3CE7">
            <w:pPr>
              <w:spacing w:line="240" w:lineRule="auto"/>
            </w:pPr>
            <w:r>
              <w:t>11/21/2022</w:t>
            </w:r>
          </w:p>
        </w:tc>
      </w:tr>
      <w:tr w:rsidR="00E05887" w14:paraId="0B333094" w14:textId="77777777" w:rsidTr="00E05887">
        <w:trPr>
          <w:cantSplit/>
          <w:trHeight w:val="489"/>
        </w:trPr>
        <w:tc>
          <w:tcPr>
            <w:tcW w:w="2600" w:type="dxa"/>
            <w:vAlign w:val="center"/>
          </w:tcPr>
          <w:p w14:paraId="7792CA86" w14:textId="268DC738" w:rsidR="00501AE1" w:rsidRDefault="00501AE1" w:rsidP="003A7613">
            <w:pPr>
              <w:spacing w:line="240" w:lineRule="auto"/>
            </w:pPr>
            <w:r>
              <w:t>April Kiser</w:t>
            </w:r>
          </w:p>
        </w:tc>
        <w:tc>
          <w:tcPr>
            <w:tcW w:w="2784" w:type="dxa"/>
            <w:vAlign w:val="center"/>
          </w:tcPr>
          <w:p w14:paraId="5570602E" w14:textId="1B42A6AD" w:rsidR="00501AE1" w:rsidRDefault="00501AE1" w:rsidP="003A7613">
            <w:pPr>
              <w:spacing w:line="240" w:lineRule="auto"/>
            </w:pPr>
            <w:r>
              <w:t>Director Environmental Studies and Global Studies</w:t>
            </w:r>
          </w:p>
        </w:tc>
        <w:tc>
          <w:tcPr>
            <w:tcW w:w="3876" w:type="dxa"/>
            <w:vAlign w:val="center"/>
          </w:tcPr>
          <w:p w14:paraId="532694F5" w14:textId="64B3FF13" w:rsidR="00501AE1" w:rsidRDefault="0054450F" w:rsidP="003A7613">
            <w:pPr>
              <w:spacing w:line="240" w:lineRule="auto"/>
            </w:pPr>
            <w:r>
              <w:t>*Acknowledged via email</w:t>
            </w:r>
          </w:p>
        </w:tc>
        <w:tc>
          <w:tcPr>
            <w:tcW w:w="1520" w:type="dxa"/>
            <w:vAlign w:val="center"/>
          </w:tcPr>
          <w:p w14:paraId="0A2D6974" w14:textId="53490A0C" w:rsidR="00501AE1" w:rsidRDefault="00C17FA7" w:rsidP="003A7613">
            <w:pPr>
              <w:spacing w:line="240" w:lineRule="auto"/>
            </w:pPr>
            <w:r>
              <w:t>11/21/2022</w:t>
            </w:r>
          </w:p>
        </w:tc>
      </w:tr>
      <w:tr w:rsidR="00E05887" w14:paraId="58447C85" w14:textId="77777777" w:rsidTr="00E05887">
        <w:trPr>
          <w:cantSplit/>
          <w:trHeight w:val="489"/>
        </w:trPr>
        <w:tc>
          <w:tcPr>
            <w:tcW w:w="2600" w:type="dxa"/>
            <w:vAlign w:val="center"/>
          </w:tcPr>
          <w:p w14:paraId="0B4B6860" w14:textId="77777777" w:rsidR="001529F2" w:rsidRDefault="001529F2" w:rsidP="00AE3CE7">
            <w:pPr>
              <w:spacing w:line="240" w:lineRule="auto"/>
            </w:pPr>
            <w:r>
              <w:t>Robyn Linde</w:t>
            </w:r>
          </w:p>
        </w:tc>
        <w:tc>
          <w:tcPr>
            <w:tcW w:w="2784" w:type="dxa"/>
            <w:vAlign w:val="center"/>
          </w:tcPr>
          <w:p w14:paraId="66EFED8F" w14:textId="77777777" w:rsidR="001529F2" w:rsidRDefault="001529F2" w:rsidP="00AE3CE7">
            <w:pPr>
              <w:spacing w:line="240" w:lineRule="auto"/>
            </w:pPr>
            <w:r>
              <w:t>Director INGOS</w:t>
            </w:r>
          </w:p>
        </w:tc>
        <w:tc>
          <w:tcPr>
            <w:tcW w:w="3876" w:type="dxa"/>
            <w:vAlign w:val="center"/>
          </w:tcPr>
          <w:p w14:paraId="1D797A1E" w14:textId="77777777" w:rsidR="001529F2" w:rsidRDefault="001529F2" w:rsidP="00AE3CE7">
            <w:pPr>
              <w:spacing w:line="240" w:lineRule="auto"/>
            </w:pPr>
            <w:r>
              <w:rPr>
                <w:noProof/>
              </w:rPr>
              <w:drawing>
                <wp:inline distT="0" distB="0" distL="0" distR="0" wp14:anchorId="5669D414" wp14:editId="34F9F455">
                  <wp:extent cx="1617260" cy="3725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1661187" cy="382658"/>
                          </a:xfrm>
                          <a:prstGeom prst="rect">
                            <a:avLst/>
                          </a:prstGeom>
                        </pic:spPr>
                      </pic:pic>
                    </a:graphicData>
                  </a:graphic>
                </wp:inline>
              </w:drawing>
            </w:r>
          </w:p>
        </w:tc>
        <w:tc>
          <w:tcPr>
            <w:tcW w:w="1520" w:type="dxa"/>
            <w:vAlign w:val="center"/>
          </w:tcPr>
          <w:p w14:paraId="584E8B57" w14:textId="77777777" w:rsidR="001529F2" w:rsidRDefault="001529F2" w:rsidP="00AE3CE7">
            <w:pPr>
              <w:spacing w:line="240" w:lineRule="auto"/>
            </w:pPr>
            <w:r>
              <w:t>11-21-2022</w:t>
            </w:r>
          </w:p>
        </w:tc>
      </w:tr>
      <w:tr w:rsidR="00E05887" w14:paraId="5B0ED797" w14:textId="77777777" w:rsidTr="00E05887">
        <w:trPr>
          <w:cantSplit/>
          <w:trHeight w:val="489"/>
        </w:trPr>
        <w:tc>
          <w:tcPr>
            <w:tcW w:w="2600" w:type="dxa"/>
            <w:vAlign w:val="center"/>
          </w:tcPr>
          <w:p w14:paraId="7325037F" w14:textId="77777777" w:rsidR="00152B9B" w:rsidRDefault="00152B9B" w:rsidP="00AE3CE7">
            <w:pPr>
              <w:spacing w:line="240" w:lineRule="auto"/>
            </w:pPr>
            <w:r>
              <w:t>Charles McLaughlin</w:t>
            </w:r>
          </w:p>
        </w:tc>
        <w:tc>
          <w:tcPr>
            <w:tcW w:w="2784" w:type="dxa"/>
            <w:vAlign w:val="center"/>
          </w:tcPr>
          <w:p w14:paraId="6E041299" w14:textId="77777777" w:rsidR="00152B9B" w:rsidRDefault="00152B9B" w:rsidP="00AE3CE7">
            <w:pPr>
              <w:spacing w:line="240" w:lineRule="auto"/>
            </w:pPr>
            <w:r>
              <w:t>Chair Ed. Studies</w:t>
            </w:r>
          </w:p>
        </w:tc>
        <w:tc>
          <w:tcPr>
            <w:tcW w:w="3876" w:type="dxa"/>
            <w:vAlign w:val="center"/>
          </w:tcPr>
          <w:p w14:paraId="2D4A7457" w14:textId="77777777" w:rsidR="00152B9B" w:rsidRDefault="00152B9B" w:rsidP="00AE3CE7">
            <w:pPr>
              <w:spacing w:line="240" w:lineRule="auto"/>
            </w:pPr>
            <w:r>
              <w:rPr>
                <w:rFonts w:ascii="Vladimir Script" w:hAnsi="Vladimir Script"/>
                <w:sz w:val="28"/>
                <w:szCs w:val="28"/>
              </w:rPr>
              <w:t>Charles H. McLaughlin, Jr.</w:t>
            </w:r>
          </w:p>
        </w:tc>
        <w:tc>
          <w:tcPr>
            <w:tcW w:w="1520" w:type="dxa"/>
            <w:vAlign w:val="center"/>
          </w:tcPr>
          <w:p w14:paraId="1C5DF1B8" w14:textId="77777777" w:rsidR="00152B9B" w:rsidRDefault="00152B9B" w:rsidP="00AE3CE7">
            <w:pPr>
              <w:spacing w:line="240" w:lineRule="auto"/>
            </w:pPr>
            <w:r>
              <w:t>11/26/2022</w:t>
            </w:r>
          </w:p>
        </w:tc>
      </w:tr>
      <w:tr w:rsidR="00E05887" w14:paraId="15F59417" w14:textId="77777777" w:rsidTr="00E05887">
        <w:trPr>
          <w:cantSplit/>
          <w:trHeight w:val="489"/>
        </w:trPr>
        <w:tc>
          <w:tcPr>
            <w:tcW w:w="2600" w:type="dxa"/>
            <w:vAlign w:val="center"/>
          </w:tcPr>
          <w:p w14:paraId="31272996" w14:textId="6F796E1C" w:rsidR="00256182" w:rsidRDefault="00256182" w:rsidP="003A7613">
            <w:pPr>
              <w:spacing w:line="240" w:lineRule="auto"/>
            </w:pPr>
            <w:r>
              <w:t>Jeanne Dingus-Eason</w:t>
            </w:r>
          </w:p>
        </w:tc>
        <w:tc>
          <w:tcPr>
            <w:tcW w:w="2784" w:type="dxa"/>
            <w:vAlign w:val="center"/>
          </w:tcPr>
          <w:p w14:paraId="46733A01" w14:textId="7BC717ED" w:rsidR="00256182" w:rsidRDefault="00256182" w:rsidP="003A7613">
            <w:pPr>
              <w:spacing w:line="240" w:lineRule="auto"/>
            </w:pPr>
            <w:r>
              <w:t>Dean FSEHD</w:t>
            </w:r>
          </w:p>
        </w:tc>
        <w:tc>
          <w:tcPr>
            <w:tcW w:w="3876" w:type="dxa"/>
            <w:vAlign w:val="center"/>
          </w:tcPr>
          <w:p w14:paraId="4D852263" w14:textId="1D2F9523" w:rsidR="00256182" w:rsidRDefault="0054450F" w:rsidP="003A7613">
            <w:pPr>
              <w:spacing w:line="240" w:lineRule="auto"/>
            </w:pPr>
            <w:r>
              <w:t>*Acknowledged via email</w:t>
            </w:r>
          </w:p>
        </w:tc>
        <w:tc>
          <w:tcPr>
            <w:tcW w:w="1520" w:type="dxa"/>
            <w:vAlign w:val="center"/>
          </w:tcPr>
          <w:p w14:paraId="07850AA2" w14:textId="5021361A" w:rsidR="00256182" w:rsidRDefault="00D65892" w:rsidP="003A7613">
            <w:pPr>
              <w:spacing w:line="240" w:lineRule="auto"/>
            </w:pPr>
            <w:r>
              <w:t>11/25/2022</w:t>
            </w:r>
          </w:p>
        </w:tc>
      </w:tr>
      <w:tr w:rsidR="00E05887" w14:paraId="54DA3121" w14:textId="77777777" w:rsidTr="00E05887">
        <w:trPr>
          <w:cantSplit/>
          <w:trHeight w:val="489"/>
        </w:trPr>
        <w:tc>
          <w:tcPr>
            <w:tcW w:w="2600" w:type="dxa"/>
            <w:vAlign w:val="center"/>
          </w:tcPr>
          <w:p w14:paraId="00EF0A7C" w14:textId="7C781243" w:rsidR="00C47DDB" w:rsidRDefault="00C47DDB" w:rsidP="00C47DDB">
            <w:pPr>
              <w:pStyle w:val="NormalWeb"/>
            </w:pPr>
            <w:r>
              <w:t>Kemal</w:t>
            </w:r>
            <w:r w:rsidRPr="00C47DDB">
              <w:rPr>
                <w:rFonts w:asciiTheme="minorHAnsi" w:hAnsiTheme="minorHAnsi"/>
                <w:sz w:val="22"/>
                <w:szCs w:val="22"/>
              </w:rPr>
              <w:t xml:space="preserve"> </w:t>
            </w:r>
            <w:proofErr w:type="spellStart"/>
            <w:r w:rsidRPr="00C47DDB">
              <w:rPr>
                <w:rFonts w:asciiTheme="minorHAnsi" w:hAnsiTheme="minorHAnsi"/>
                <w:sz w:val="22"/>
                <w:szCs w:val="22"/>
              </w:rPr>
              <w:t>Saatcioglu</w:t>
            </w:r>
            <w:proofErr w:type="spellEnd"/>
            <w:r>
              <w:rPr>
                <w:rFonts w:ascii="GillSansMT" w:hAnsi="GillSansMT"/>
                <w:sz w:val="16"/>
                <w:szCs w:val="16"/>
              </w:rPr>
              <w:t xml:space="preserve"> </w:t>
            </w:r>
          </w:p>
        </w:tc>
        <w:tc>
          <w:tcPr>
            <w:tcW w:w="2784" w:type="dxa"/>
            <w:vAlign w:val="center"/>
          </w:tcPr>
          <w:p w14:paraId="6D71E07B" w14:textId="4634D273" w:rsidR="00C47DDB" w:rsidRDefault="00C47DDB" w:rsidP="003A7613">
            <w:pPr>
              <w:spacing w:line="240" w:lineRule="auto"/>
            </w:pPr>
            <w:r>
              <w:t>Faculty advisor for International Business Minor</w:t>
            </w:r>
          </w:p>
        </w:tc>
        <w:tc>
          <w:tcPr>
            <w:tcW w:w="3876" w:type="dxa"/>
            <w:vAlign w:val="center"/>
          </w:tcPr>
          <w:p w14:paraId="44BDB9AF" w14:textId="2DB7C0BD" w:rsidR="00C47DDB" w:rsidRDefault="0054450F" w:rsidP="003A7613">
            <w:pPr>
              <w:spacing w:line="240" w:lineRule="auto"/>
            </w:pPr>
            <w:r>
              <w:t>*Acknowledged via email</w:t>
            </w:r>
          </w:p>
        </w:tc>
        <w:tc>
          <w:tcPr>
            <w:tcW w:w="1520" w:type="dxa"/>
            <w:vAlign w:val="center"/>
          </w:tcPr>
          <w:p w14:paraId="3D893C46" w14:textId="48D6A97E" w:rsidR="00C47DDB" w:rsidRDefault="00C17FA7" w:rsidP="003A7613">
            <w:pPr>
              <w:spacing w:line="240" w:lineRule="auto"/>
            </w:pPr>
            <w:r>
              <w:t>11/21/2022</w:t>
            </w:r>
          </w:p>
        </w:tc>
      </w:tr>
      <w:tr w:rsidR="00E05887" w14:paraId="7ED08ED0" w14:textId="77777777" w:rsidTr="00E05887">
        <w:trPr>
          <w:cantSplit/>
          <w:trHeight w:val="489"/>
        </w:trPr>
        <w:tc>
          <w:tcPr>
            <w:tcW w:w="2600" w:type="dxa"/>
            <w:vAlign w:val="center"/>
          </w:tcPr>
          <w:p w14:paraId="59BCA97E" w14:textId="16262113" w:rsidR="00C47DDB" w:rsidRDefault="00C47DDB" w:rsidP="003A7613">
            <w:pPr>
              <w:spacing w:line="240" w:lineRule="auto"/>
            </w:pPr>
            <w:r>
              <w:t xml:space="preserve">Constance </w:t>
            </w:r>
            <w:proofErr w:type="spellStart"/>
            <w:r>
              <w:t>Milbourne</w:t>
            </w:r>
            <w:proofErr w:type="spellEnd"/>
          </w:p>
        </w:tc>
        <w:tc>
          <w:tcPr>
            <w:tcW w:w="2784" w:type="dxa"/>
            <w:vAlign w:val="center"/>
          </w:tcPr>
          <w:p w14:paraId="35BF2F73" w14:textId="0E6076F1" w:rsidR="00C47DDB" w:rsidRDefault="00C47DDB" w:rsidP="003A7613">
            <w:pPr>
              <w:spacing w:line="240" w:lineRule="auto"/>
            </w:pPr>
            <w:r>
              <w:t>Chair Management and Marketing</w:t>
            </w:r>
          </w:p>
        </w:tc>
        <w:tc>
          <w:tcPr>
            <w:tcW w:w="3876" w:type="dxa"/>
            <w:vAlign w:val="center"/>
          </w:tcPr>
          <w:p w14:paraId="028C1F1B" w14:textId="1EE62D69" w:rsidR="00C47DDB" w:rsidRDefault="0054450F" w:rsidP="003A7613">
            <w:pPr>
              <w:spacing w:line="240" w:lineRule="auto"/>
            </w:pPr>
            <w:r>
              <w:t>*Acknowledged via email</w:t>
            </w:r>
          </w:p>
        </w:tc>
        <w:tc>
          <w:tcPr>
            <w:tcW w:w="1520" w:type="dxa"/>
            <w:vAlign w:val="center"/>
          </w:tcPr>
          <w:p w14:paraId="5491F77E" w14:textId="0B4D1180" w:rsidR="00C47DDB" w:rsidRDefault="004740A1" w:rsidP="003A7613">
            <w:pPr>
              <w:spacing w:line="240" w:lineRule="auto"/>
            </w:pPr>
            <w:r>
              <w:t>11/28/2022</w:t>
            </w:r>
          </w:p>
        </w:tc>
      </w:tr>
      <w:tr w:rsidR="00E05887" w14:paraId="7506AD9E" w14:textId="77777777" w:rsidTr="00E05887">
        <w:trPr>
          <w:cantSplit/>
          <w:trHeight w:val="489"/>
        </w:trPr>
        <w:tc>
          <w:tcPr>
            <w:tcW w:w="2600" w:type="dxa"/>
            <w:vAlign w:val="center"/>
          </w:tcPr>
          <w:p w14:paraId="4DF5080F" w14:textId="6BAF9400" w:rsidR="001B0D15" w:rsidRDefault="00CB0879" w:rsidP="003A7613">
            <w:pPr>
              <w:spacing w:line="240" w:lineRule="auto"/>
            </w:pPr>
            <w:r>
              <w:t>Marianne Raimondo</w:t>
            </w:r>
          </w:p>
        </w:tc>
        <w:tc>
          <w:tcPr>
            <w:tcW w:w="2784" w:type="dxa"/>
            <w:vAlign w:val="center"/>
          </w:tcPr>
          <w:p w14:paraId="4C430B7A" w14:textId="194EA3B4" w:rsidR="001B0D15" w:rsidRDefault="00CB0879" w:rsidP="003A7613">
            <w:pPr>
              <w:spacing w:line="240" w:lineRule="auto"/>
            </w:pPr>
            <w:r>
              <w:t xml:space="preserve">Dean of SOB </w:t>
            </w:r>
          </w:p>
        </w:tc>
        <w:tc>
          <w:tcPr>
            <w:tcW w:w="3876" w:type="dxa"/>
            <w:vAlign w:val="center"/>
          </w:tcPr>
          <w:p w14:paraId="431C33F7" w14:textId="28B75D75" w:rsidR="001B0D15" w:rsidRDefault="00CB0879" w:rsidP="003A7613">
            <w:pPr>
              <w:spacing w:line="240" w:lineRule="auto"/>
            </w:pPr>
            <w:r>
              <w:rPr>
                <w:noProof/>
              </w:rPr>
              <w:drawing>
                <wp:inline distT="0" distB="0" distL="0" distR="0" wp14:anchorId="1D891E02" wp14:editId="49860AB0">
                  <wp:extent cx="2321719" cy="41084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2483703" cy="439509"/>
                          </a:xfrm>
                          <a:prstGeom prst="rect">
                            <a:avLst/>
                          </a:prstGeom>
                        </pic:spPr>
                      </pic:pic>
                    </a:graphicData>
                  </a:graphic>
                </wp:inline>
              </w:drawing>
            </w:r>
          </w:p>
        </w:tc>
        <w:tc>
          <w:tcPr>
            <w:tcW w:w="1520" w:type="dxa"/>
            <w:vAlign w:val="center"/>
          </w:tcPr>
          <w:p w14:paraId="2C02731B" w14:textId="30A833C2" w:rsidR="001B0D15" w:rsidRDefault="00CB0879" w:rsidP="003A7613">
            <w:pPr>
              <w:spacing w:line="240" w:lineRule="auto"/>
            </w:pPr>
            <w:r>
              <w:t>11/21/2022</w:t>
            </w: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E1F9" w14:textId="77777777" w:rsidR="00103467" w:rsidRDefault="00103467" w:rsidP="00FA78CA">
      <w:pPr>
        <w:spacing w:line="240" w:lineRule="auto"/>
      </w:pPr>
      <w:r>
        <w:separator/>
      </w:r>
    </w:p>
  </w:endnote>
  <w:endnote w:type="continuationSeparator" w:id="0">
    <w:p w14:paraId="100EFC26" w14:textId="77777777" w:rsidR="00103467" w:rsidRDefault="00103467"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4D"/>
    <w:family w:val="script"/>
    <w:pitch w:val="variable"/>
    <w:sig w:usb0="00000003" w:usb1="00000000" w:usb2="00000000" w:usb3="00000000" w:csb0="00000001" w:csb1="00000000"/>
  </w:font>
  <w:font w:name="Vladimir Script">
    <w:panose1 w:val="03050402040407070305"/>
    <w:charset w:val="4D"/>
    <w:family w:val="script"/>
    <w:pitch w:val="variable"/>
    <w:sig w:usb0="00000003" w:usb1="00000000" w:usb2="00000000" w:usb3="00000000" w:csb0="00000001" w:csb1="00000000"/>
  </w:font>
  <w:font w:name="GillSansM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3A7613" w:rsidRPr="00310D95" w:rsidRDefault="003A7613"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Pr>
        <w:b/>
        <w:bCs/>
        <w:noProof/>
        <w:sz w:val="20"/>
      </w:rPr>
      <w:t>1</w:t>
    </w:r>
    <w:r w:rsidRPr="00310D95">
      <w:rPr>
        <w:sz w:val="20"/>
      </w:rPr>
      <w:t xml:space="preserve"> of </w:t>
    </w:r>
    <w:r>
      <w:rPr>
        <w:b/>
        <w:bCs/>
        <w:noProof/>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4C2D" w14:textId="77777777" w:rsidR="00103467" w:rsidRDefault="00103467" w:rsidP="00FA78CA">
      <w:pPr>
        <w:spacing w:line="240" w:lineRule="auto"/>
      </w:pPr>
      <w:r>
        <w:separator/>
      </w:r>
    </w:p>
  </w:footnote>
  <w:footnote w:type="continuationSeparator" w:id="0">
    <w:p w14:paraId="4479A4BA" w14:textId="77777777" w:rsidR="00103467" w:rsidRDefault="00103467"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68987B5" w:rsidR="003A7613" w:rsidRPr="004254A0" w:rsidRDefault="003A7613"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4F0717">
      <w:rPr>
        <w:color w:val="4F6228"/>
      </w:rPr>
      <w:t>22-23-016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4F0717">
      <w:rPr>
        <w:color w:val="4F6228"/>
      </w:rPr>
      <w:t>11/22/2022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A7613" w:rsidRPr="008745BA" w:rsidRDefault="003A7613"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54025C"/>
    <w:multiLevelType w:val="hybridMultilevel"/>
    <w:tmpl w:val="65B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71912242">
    <w:abstractNumId w:val="11"/>
  </w:num>
  <w:num w:numId="2" w16cid:durableId="1326593829">
    <w:abstractNumId w:val="3"/>
  </w:num>
  <w:num w:numId="3" w16cid:durableId="873269420">
    <w:abstractNumId w:val="9"/>
  </w:num>
  <w:num w:numId="4" w16cid:durableId="105081915">
    <w:abstractNumId w:val="1"/>
  </w:num>
  <w:num w:numId="5" w16cid:durableId="1452894084">
    <w:abstractNumId w:val="5"/>
  </w:num>
  <w:num w:numId="6" w16cid:durableId="402877204">
    <w:abstractNumId w:val="13"/>
  </w:num>
  <w:num w:numId="7" w16cid:durableId="763917434">
    <w:abstractNumId w:val="2"/>
  </w:num>
  <w:num w:numId="8" w16cid:durableId="658964960">
    <w:abstractNumId w:val="8"/>
  </w:num>
  <w:num w:numId="9" w16cid:durableId="627510401">
    <w:abstractNumId w:val="10"/>
  </w:num>
  <w:num w:numId="10" w16cid:durableId="1584409528">
    <w:abstractNumId w:val="4"/>
  </w:num>
  <w:num w:numId="11" w16cid:durableId="319388113">
    <w:abstractNumId w:val="14"/>
  </w:num>
  <w:num w:numId="12" w16cid:durableId="941646513">
    <w:abstractNumId w:val="7"/>
  </w:num>
  <w:num w:numId="13" w16cid:durableId="970748065">
    <w:abstractNumId w:val="0"/>
  </w:num>
  <w:num w:numId="14" w16cid:durableId="616330587">
    <w:abstractNumId w:val="6"/>
  </w:num>
  <w:num w:numId="15" w16cid:durableId="1043988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2781B"/>
    <w:rsid w:val="000301C7"/>
    <w:rsid w:val="00033392"/>
    <w:rsid w:val="00037A68"/>
    <w:rsid w:val="00045245"/>
    <w:rsid w:val="0004554C"/>
    <w:rsid w:val="000556B3"/>
    <w:rsid w:val="0005769F"/>
    <w:rsid w:val="000718C6"/>
    <w:rsid w:val="000801BC"/>
    <w:rsid w:val="000810FF"/>
    <w:rsid w:val="00096115"/>
    <w:rsid w:val="000A36CD"/>
    <w:rsid w:val="000B2329"/>
    <w:rsid w:val="000C39C9"/>
    <w:rsid w:val="000D1497"/>
    <w:rsid w:val="000D21F2"/>
    <w:rsid w:val="000E2CBA"/>
    <w:rsid w:val="000F4A33"/>
    <w:rsid w:val="001010FA"/>
    <w:rsid w:val="00101BA4"/>
    <w:rsid w:val="0010291E"/>
    <w:rsid w:val="00103452"/>
    <w:rsid w:val="00103467"/>
    <w:rsid w:val="00115A68"/>
    <w:rsid w:val="0011690A"/>
    <w:rsid w:val="00120C12"/>
    <w:rsid w:val="001278A4"/>
    <w:rsid w:val="0013176C"/>
    <w:rsid w:val="00131B87"/>
    <w:rsid w:val="00132DFF"/>
    <w:rsid w:val="001429AA"/>
    <w:rsid w:val="001529F2"/>
    <w:rsid w:val="00152B9B"/>
    <w:rsid w:val="00155826"/>
    <w:rsid w:val="001622D2"/>
    <w:rsid w:val="00175D3F"/>
    <w:rsid w:val="00176C55"/>
    <w:rsid w:val="00181A4B"/>
    <w:rsid w:val="00191F3C"/>
    <w:rsid w:val="001A1D27"/>
    <w:rsid w:val="001A37FB"/>
    <w:rsid w:val="001A51ED"/>
    <w:rsid w:val="001B0D15"/>
    <w:rsid w:val="001B2E3A"/>
    <w:rsid w:val="001C3A09"/>
    <w:rsid w:val="001D6E18"/>
    <w:rsid w:val="001E6457"/>
    <w:rsid w:val="001F3633"/>
    <w:rsid w:val="0020058E"/>
    <w:rsid w:val="0023401B"/>
    <w:rsid w:val="00237355"/>
    <w:rsid w:val="00241866"/>
    <w:rsid w:val="00256182"/>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1C19"/>
    <w:rsid w:val="002C3D63"/>
    <w:rsid w:val="002D0316"/>
    <w:rsid w:val="002D194C"/>
    <w:rsid w:val="002D666D"/>
    <w:rsid w:val="002F1123"/>
    <w:rsid w:val="002F36B8"/>
    <w:rsid w:val="00310D95"/>
    <w:rsid w:val="003153C3"/>
    <w:rsid w:val="00345149"/>
    <w:rsid w:val="00350470"/>
    <w:rsid w:val="0035674C"/>
    <w:rsid w:val="00371FC0"/>
    <w:rsid w:val="0037253D"/>
    <w:rsid w:val="00373FA3"/>
    <w:rsid w:val="00376A8B"/>
    <w:rsid w:val="003A4138"/>
    <w:rsid w:val="003A45F6"/>
    <w:rsid w:val="003A7613"/>
    <w:rsid w:val="003B4A52"/>
    <w:rsid w:val="003C1A54"/>
    <w:rsid w:val="003C4354"/>
    <w:rsid w:val="003C511E"/>
    <w:rsid w:val="003C6105"/>
    <w:rsid w:val="003D7372"/>
    <w:rsid w:val="003E539A"/>
    <w:rsid w:val="003F099C"/>
    <w:rsid w:val="003F4E82"/>
    <w:rsid w:val="00402602"/>
    <w:rsid w:val="004105B6"/>
    <w:rsid w:val="00412E5A"/>
    <w:rsid w:val="004254A0"/>
    <w:rsid w:val="00426C3A"/>
    <w:rsid w:val="00427060"/>
    <w:rsid w:val="004313E6"/>
    <w:rsid w:val="004403BD"/>
    <w:rsid w:val="00442EEA"/>
    <w:rsid w:val="00454E79"/>
    <w:rsid w:val="004740A1"/>
    <w:rsid w:val="004779B4"/>
    <w:rsid w:val="00480FAA"/>
    <w:rsid w:val="0049539B"/>
    <w:rsid w:val="004A5FCC"/>
    <w:rsid w:val="004C10DF"/>
    <w:rsid w:val="004D33BC"/>
    <w:rsid w:val="004E57C5"/>
    <w:rsid w:val="004E79A5"/>
    <w:rsid w:val="004F0717"/>
    <w:rsid w:val="004F1328"/>
    <w:rsid w:val="00501AE1"/>
    <w:rsid w:val="00517DB2"/>
    <w:rsid w:val="00526851"/>
    <w:rsid w:val="005275F1"/>
    <w:rsid w:val="00541F11"/>
    <w:rsid w:val="0054450F"/>
    <w:rsid w:val="005473BC"/>
    <w:rsid w:val="00566240"/>
    <w:rsid w:val="005851AF"/>
    <w:rsid w:val="005873E3"/>
    <w:rsid w:val="00590188"/>
    <w:rsid w:val="0059448E"/>
    <w:rsid w:val="005B037C"/>
    <w:rsid w:val="005B1049"/>
    <w:rsid w:val="005B47CC"/>
    <w:rsid w:val="005B699C"/>
    <w:rsid w:val="005C23BD"/>
    <w:rsid w:val="005C3F83"/>
    <w:rsid w:val="005D389E"/>
    <w:rsid w:val="005E2D3D"/>
    <w:rsid w:val="005F2A05"/>
    <w:rsid w:val="006071E3"/>
    <w:rsid w:val="00611DCE"/>
    <w:rsid w:val="0061535B"/>
    <w:rsid w:val="00622F02"/>
    <w:rsid w:val="006520D7"/>
    <w:rsid w:val="006575EA"/>
    <w:rsid w:val="00670869"/>
    <w:rsid w:val="006761E1"/>
    <w:rsid w:val="00683987"/>
    <w:rsid w:val="006970B0"/>
    <w:rsid w:val="006A3BE6"/>
    <w:rsid w:val="006A5357"/>
    <w:rsid w:val="006B20A9"/>
    <w:rsid w:val="006C2593"/>
    <w:rsid w:val="006D03B0"/>
    <w:rsid w:val="006E365C"/>
    <w:rsid w:val="006E3AF2"/>
    <w:rsid w:val="006E6680"/>
    <w:rsid w:val="006F4D68"/>
    <w:rsid w:val="006F7F90"/>
    <w:rsid w:val="00704CFF"/>
    <w:rsid w:val="00705819"/>
    <w:rsid w:val="00706745"/>
    <w:rsid w:val="007072F7"/>
    <w:rsid w:val="00714B57"/>
    <w:rsid w:val="0074235B"/>
    <w:rsid w:val="0074395D"/>
    <w:rsid w:val="00743AD2"/>
    <w:rsid w:val="007445F4"/>
    <w:rsid w:val="007554DE"/>
    <w:rsid w:val="00760EA6"/>
    <w:rsid w:val="00762FA1"/>
    <w:rsid w:val="00766256"/>
    <w:rsid w:val="00776415"/>
    <w:rsid w:val="00795D54"/>
    <w:rsid w:val="00796AF7"/>
    <w:rsid w:val="007970C3"/>
    <w:rsid w:val="007A5702"/>
    <w:rsid w:val="007A6FA4"/>
    <w:rsid w:val="007B0249"/>
    <w:rsid w:val="007B10BE"/>
    <w:rsid w:val="007B249E"/>
    <w:rsid w:val="007E29FD"/>
    <w:rsid w:val="007F4255"/>
    <w:rsid w:val="008122C6"/>
    <w:rsid w:val="00836281"/>
    <w:rsid w:val="00837253"/>
    <w:rsid w:val="008405BE"/>
    <w:rsid w:val="0085229B"/>
    <w:rsid w:val="008555D8"/>
    <w:rsid w:val="008628B1"/>
    <w:rsid w:val="00865915"/>
    <w:rsid w:val="00872775"/>
    <w:rsid w:val="008745BA"/>
    <w:rsid w:val="00876925"/>
    <w:rsid w:val="00880392"/>
    <w:rsid w:val="008836DF"/>
    <w:rsid w:val="00883C55"/>
    <w:rsid w:val="008847FE"/>
    <w:rsid w:val="0089234B"/>
    <w:rsid w:val="008927AF"/>
    <w:rsid w:val="0089400B"/>
    <w:rsid w:val="008B1F84"/>
    <w:rsid w:val="008C097D"/>
    <w:rsid w:val="008D52B7"/>
    <w:rsid w:val="008E07D4"/>
    <w:rsid w:val="008E0FCD"/>
    <w:rsid w:val="008E3EFA"/>
    <w:rsid w:val="008F175C"/>
    <w:rsid w:val="00905E67"/>
    <w:rsid w:val="00913143"/>
    <w:rsid w:val="00934884"/>
    <w:rsid w:val="00936421"/>
    <w:rsid w:val="00941342"/>
    <w:rsid w:val="009421C0"/>
    <w:rsid w:val="009458D2"/>
    <w:rsid w:val="00946B20"/>
    <w:rsid w:val="009565C6"/>
    <w:rsid w:val="00966544"/>
    <w:rsid w:val="0098046D"/>
    <w:rsid w:val="00984B36"/>
    <w:rsid w:val="00991A63"/>
    <w:rsid w:val="009A4E6F"/>
    <w:rsid w:val="009A58C1"/>
    <w:rsid w:val="009B4B02"/>
    <w:rsid w:val="009B52DB"/>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16BB"/>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649F0"/>
    <w:rsid w:val="00B67F02"/>
    <w:rsid w:val="00B77369"/>
    <w:rsid w:val="00B82B64"/>
    <w:rsid w:val="00B85F49"/>
    <w:rsid w:val="00B862BF"/>
    <w:rsid w:val="00B87B39"/>
    <w:rsid w:val="00B96568"/>
    <w:rsid w:val="00BB11B9"/>
    <w:rsid w:val="00BC2A73"/>
    <w:rsid w:val="00BC42B6"/>
    <w:rsid w:val="00BC5A57"/>
    <w:rsid w:val="00BE24A9"/>
    <w:rsid w:val="00BF1795"/>
    <w:rsid w:val="00BF30C5"/>
    <w:rsid w:val="00BF3E1D"/>
    <w:rsid w:val="00C0654C"/>
    <w:rsid w:val="00C11283"/>
    <w:rsid w:val="00C17FA7"/>
    <w:rsid w:val="00C25F9D"/>
    <w:rsid w:val="00C268AC"/>
    <w:rsid w:val="00C31E83"/>
    <w:rsid w:val="00C344AB"/>
    <w:rsid w:val="00C47DDB"/>
    <w:rsid w:val="00C5135B"/>
    <w:rsid w:val="00C518C1"/>
    <w:rsid w:val="00C53751"/>
    <w:rsid w:val="00C57281"/>
    <w:rsid w:val="00C61286"/>
    <w:rsid w:val="00C63D82"/>
    <w:rsid w:val="00C63F4F"/>
    <w:rsid w:val="00C81891"/>
    <w:rsid w:val="00C94576"/>
    <w:rsid w:val="00C969FA"/>
    <w:rsid w:val="00C97577"/>
    <w:rsid w:val="00CA71A8"/>
    <w:rsid w:val="00CB0879"/>
    <w:rsid w:val="00CC03A7"/>
    <w:rsid w:val="00CC3BBF"/>
    <w:rsid w:val="00CC3E7A"/>
    <w:rsid w:val="00CC596A"/>
    <w:rsid w:val="00CD18DD"/>
    <w:rsid w:val="00CD4615"/>
    <w:rsid w:val="00CF0458"/>
    <w:rsid w:val="00CF0A1D"/>
    <w:rsid w:val="00CF3022"/>
    <w:rsid w:val="00CF56A2"/>
    <w:rsid w:val="00D21AD5"/>
    <w:rsid w:val="00D30B66"/>
    <w:rsid w:val="00D45832"/>
    <w:rsid w:val="00D46796"/>
    <w:rsid w:val="00D56C09"/>
    <w:rsid w:val="00D64DF4"/>
    <w:rsid w:val="00D65892"/>
    <w:rsid w:val="00D65F02"/>
    <w:rsid w:val="00D713D7"/>
    <w:rsid w:val="00D75B84"/>
    <w:rsid w:val="00D75FF8"/>
    <w:rsid w:val="00D850EF"/>
    <w:rsid w:val="00D968DA"/>
    <w:rsid w:val="00D96C1E"/>
    <w:rsid w:val="00DA1CC6"/>
    <w:rsid w:val="00DA73A0"/>
    <w:rsid w:val="00DB23D4"/>
    <w:rsid w:val="00DB63D4"/>
    <w:rsid w:val="00DC15D9"/>
    <w:rsid w:val="00DD69AE"/>
    <w:rsid w:val="00DE2B7A"/>
    <w:rsid w:val="00DF36DE"/>
    <w:rsid w:val="00DF4FCD"/>
    <w:rsid w:val="00DF7C07"/>
    <w:rsid w:val="00E05887"/>
    <w:rsid w:val="00E1352D"/>
    <w:rsid w:val="00E36899"/>
    <w:rsid w:val="00E36AF7"/>
    <w:rsid w:val="00E44DC4"/>
    <w:rsid w:val="00E4755D"/>
    <w:rsid w:val="00E500F9"/>
    <w:rsid w:val="00E52AB9"/>
    <w:rsid w:val="00E52D6B"/>
    <w:rsid w:val="00E53053"/>
    <w:rsid w:val="00E60627"/>
    <w:rsid w:val="00E641DE"/>
    <w:rsid w:val="00E6601B"/>
    <w:rsid w:val="00E95018"/>
    <w:rsid w:val="00EB33FD"/>
    <w:rsid w:val="00EC194E"/>
    <w:rsid w:val="00EC38F4"/>
    <w:rsid w:val="00EC63A4"/>
    <w:rsid w:val="00EC7B24"/>
    <w:rsid w:val="00ED0D58"/>
    <w:rsid w:val="00ED1712"/>
    <w:rsid w:val="00EF5FD0"/>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2501"/>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unhideWhenUsed/>
    <w:rsid w:val="00C47DD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9775">
      <w:bodyDiv w:val="1"/>
      <w:marLeft w:val="0"/>
      <w:marRight w:val="0"/>
      <w:marTop w:val="0"/>
      <w:marBottom w:val="0"/>
      <w:divBdr>
        <w:top w:val="none" w:sz="0" w:space="0" w:color="auto"/>
        <w:left w:val="none" w:sz="0" w:space="0" w:color="auto"/>
        <w:bottom w:val="none" w:sz="0" w:space="0" w:color="auto"/>
        <w:right w:val="none" w:sz="0" w:space="0" w:color="auto"/>
      </w:divBdr>
      <w:divsChild>
        <w:div w:id="2087803991">
          <w:marLeft w:val="0"/>
          <w:marRight w:val="0"/>
          <w:marTop w:val="0"/>
          <w:marBottom w:val="0"/>
          <w:divBdr>
            <w:top w:val="none" w:sz="0" w:space="0" w:color="auto"/>
            <w:left w:val="none" w:sz="0" w:space="0" w:color="auto"/>
            <w:bottom w:val="none" w:sz="0" w:space="0" w:color="auto"/>
            <w:right w:val="none" w:sz="0" w:space="0" w:color="auto"/>
          </w:divBdr>
          <w:divsChild>
            <w:div w:id="1509058147">
              <w:marLeft w:val="0"/>
              <w:marRight w:val="0"/>
              <w:marTop w:val="0"/>
              <w:marBottom w:val="0"/>
              <w:divBdr>
                <w:top w:val="none" w:sz="0" w:space="0" w:color="auto"/>
                <w:left w:val="none" w:sz="0" w:space="0" w:color="auto"/>
                <w:bottom w:val="none" w:sz="0" w:space="0" w:color="auto"/>
                <w:right w:val="none" w:sz="0" w:space="0" w:color="auto"/>
              </w:divBdr>
              <w:divsChild>
                <w:div w:id="428893433">
                  <w:marLeft w:val="0"/>
                  <w:marRight w:val="0"/>
                  <w:marTop w:val="0"/>
                  <w:marBottom w:val="0"/>
                  <w:divBdr>
                    <w:top w:val="none" w:sz="0" w:space="0" w:color="auto"/>
                    <w:left w:val="none" w:sz="0" w:space="0" w:color="auto"/>
                    <w:bottom w:val="none" w:sz="0" w:space="0" w:color="auto"/>
                    <w:right w:val="none" w:sz="0" w:space="0" w:color="auto"/>
                  </w:divBdr>
                  <w:divsChild>
                    <w:div w:id="1084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14</cp:revision>
  <cp:lastPrinted>2015-10-02T15:20:00Z</cp:lastPrinted>
  <dcterms:created xsi:type="dcterms:W3CDTF">2022-11-20T19:33:00Z</dcterms:created>
  <dcterms:modified xsi:type="dcterms:W3CDTF">2022-11-29T22:19:00Z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